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鄂尔多斯市教育体育局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2023年信息公开工作年度报告</w:t>
      </w:r>
    </w:p>
    <w:p>
      <w:pPr>
        <w:bidi w:val="0"/>
        <w:rPr>
          <w:rFonts w:hint="eastAsia" w:ascii="仿宋" w:hAnsi="仿宋" w:eastAsia="仿宋" w:cs="仿宋"/>
          <w:sz w:val="30"/>
          <w:szCs w:val="30"/>
        </w:rPr>
      </w:pPr>
    </w:p>
    <w:p>
      <w:pPr>
        <w:bidi w:val="0"/>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年度报告根据《中华人民共和国政府信息公开条例》编制而成。全文包括总体情况、主动公开政府信息情况、收到和处理政府信息公开申请情况、政府信息公开行政复议和行政诉讼情况、存在的主要问题及改进措施、其他需要报告的事项等六个部分组成。本年报所列数据的统计期限自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年1月1日至202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31</w:t>
      </w:r>
      <w:r>
        <w:rPr>
          <w:rFonts w:hint="eastAsia" w:ascii="仿宋_GB2312" w:hAnsi="仿宋_GB2312" w:eastAsia="仿宋_GB2312" w:cs="仿宋_GB2312"/>
          <w:sz w:val="30"/>
          <w:szCs w:val="30"/>
        </w:rPr>
        <w:t>日。本年报在鄂尔多斯市教育体育局门户网站（http://jytyj.ordos.gov.cn/）“政府信息公开专栏”内的“政府信息公开年度报告”栏目中公布。</w:t>
      </w:r>
    </w:p>
    <w:p>
      <w:pPr>
        <w:bidi w:val="0"/>
        <w:ind w:firstLine="600" w:firstLineChars="200"/>
        <w:rPr>
          <w:rFonts w:hint="eastAsia" w:ascii="黑体" w:hAnsi="黑体" w:eastAsia="黑体" w:cs="黑体"/>
          <w:sz w:val="30"/>
          <w:szCs w:val="30"/>
        </w:rPr>
      </w:pPr>
      <w:r>
        <w:rPr>
          <w:rFonts w:hint="eastAsia" w:ascii="黑体" w:hAnsi="黑体" w:eastAsia="黑体" w:cs="黑体"/>
          <w:sz w:val="30"/>
          <w:szCs w:val="30"/>
        </w:rPr>
        <w:t>一、总体情况</w:t>
      </w:r>
    </w:p>
    <w:p>
      <w:pPr>
        <w:bidi w:val="0"/>
        <w:ind w:firstLine="600" w:firstLineChars="200"/>
        <w:rPr>
          <w:rFonts w:hint="eastAsia" w:ascii="仿宋" w:hAnsi="仿宋" w:eastAsia="仿宋" w:cs="仿宋"/>
          <w:sz w:val="30"/>
          <w:szCs w:val="30"/>
        </w:rPr>
      </w:pPr>
      <w:r>
        <w:rPr>
          <w:rFonts w:hint="default" w:ascii="仿宋_GB2312" w:hAnsi="仿宋_GB2312" w:eastAsia="仿宋_GB2312" w:cs="仿宋_GB2312"/>
          <w:sz w:val="30"/>
          <w:szCs w:val="30"/>
          <w:lang w:val="en-US" w:eastAsia="zh-CN"/>
        </w:rPr>
        <w:t>202</w:t>
      </w:r>
      <w:r>
        <w:rPr>
          <w:rFonts w:hint="eastAsia" w:ascii="仿宋_GB2312" w:hAnsi="仿宋_GB2312" w:eastAsia="仿宋_GB2312" w:cs="仿宋_GB2312"/>
          <w:sz w:val="30"/>
          <w:szCs w:val="30"/>
          <w:lang w:val="en-US" w:eastAsia="zh-CN"/>
        </w:rPr>
        <w:t>3</w:t>
      </w:r>
      <w:r>
        <w:rPr>
          <w:rFonts w:hint="default" w:ascii="仿宋_GB2312" w:hAnsi="仿宋_GB2312" w:eastAsia="仿宋_GB2312" w:cs="仿宋_GB2312"/>
          <w:sz w:val="30"/>
          <w:szCs w:val="30"/>
          <w:lang w:val="en-US" w:eastAsia="zh-CN"/>
        </w:rPr>
        <w:t>年，市教育体育局</w:t>
      </w:r>
      <w:r>
        <w:rPr>
          <w:rFonts w:hint="eastAsia" w:ascii="仿宋_GB2312" w:hAnsi="仿宋_GB2312" w:eastAsia="仿宋_GB2312" w:cs="仿宋_GB2312"/>
          <w:sz w:val="30"/>
          <w:szCs w:val="30"/>
          <w:lang w:val="en-US" w:eastAsia="zh-CN"/>
        </w:rPr>
        <w:t>坚持</w:t>
      </w:r>
      <w:r>
        <w:rPr>
          <w:rFonts w:hint="default" w:ascii="仿宋_GB2312" w:hAnsi="仿宋_GB2312" w:eastAsia="仿宋_GB2312" w:cs="仿宋_GB2312"/>
          <w:sz w:val="30"/>
          <w:szCs w:val="30"/>
          <w:lang w:val="en-US" w:eastAsia="zh-CN"/>
        </w:rPr>
        <w:t>以习近平新时代中国特色社会主义思想为指导，</w:t>
      </w:r>
      <w:r>
        <w:rPr>
          <w:rFonts w:hint="eastAsia" w:ascii="仿宋_GB2312" w:hAnsi="仿宋_GB2312" w:eastAsia="仿宋_GB2312" w:cs="仿宋_GB2312"/>
          <w:sz w:val="30"/>
          <w:szCs w:val="30"/>
          <w:lang w:val="en-US" w:eastAsia="zh-CN"/>
        </w:rPr>
        <w:t>全面</w:t>
      </w:r>
      <w:r>
        <w:rPr>
          <w:rFonts w:hint="default" w:ascii="仿宋_GB2312" w:hAnsi="仿宋_GB2312" w:eastAsia="仿宋_GB2312" w:cs="仿宋_GB2312"/>
          <w:sz w:val="30"/>
          <w:szCs w:val="30"/>
          <w:lang w:val="en-US" w:eastAsia="zh-CN"/>
        </w:rPr>
        <w:t>贯彻党的</w:t>
      </w:r>
      <w:r>
        <w:rPr>
          <w:rFonts w:hint="eastAsia" w:ascii="仿宋_GB2312" w:hAnsi="仿宋_GB2312" w:eastAsia="仿宋_GB2312" w:cs="仿宋_GB2312"/>
          <w:sz w:val="30"/>
          <w:szCs w:val="30"/>
          <w:lang w:val="en-US" w:eastAsia="zh-CN"/>
        </w:rPr>
        <w:t>二十</w:t>
      </w:r>
      <w:r>
        <w:rPr>
          <w:rFonts w:hint="default" w:ascii="仿宋_GB2312" w:hAnsi="仿宋_GB2312" w:eastAsia="仿宋_GB2312" w:cs="仿宋_GB2312"/>
          <w:sz w:val="30"/>
          <w:szCs w:val="30"/>
          <w:lang w:val="en-US" w:eastAsia="zh-CN"/>
        </w:rPr>
        <w:t>大</w:t>
      </w:r>
      <w:r>
        <w:rPr>
          <w:rFonts w:hint="eastAsia" w:ascii="仿宋_GB2312" w:hAnsi="仿宋_GB2312" w:eastAsia="仿宋_GB2312" w:cs="仿宋_GB2312"/>
          <w:sz w:val="30"/>
          <w:szCs w:val="30"/>
          <w:lang w:val="en-US" w:eastAsia="zh-CN"/>
        </w:rPr>
        <w:t>和习近平总书记考察内蒙古重要指示重要讲话精神</w:t>
      </w:r>
      <w:r>
        <w:rPr>
          <w:rFonts w:hint="default"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val="en-US" w:eastAsia="zh-CN"/>
        </w:rPr>
        <w:t>全面落实中央、自治区和市委市政府的各项决策部署，紧扣“五大任务”和全方位建设模范自治区两件大事，聚焦市委“三个四”工作任务，全力推动教体系统“三个三”目标任务落实，将政务公开工作作为助力保障和改善民生的关键举措落实落细，持续推进重点难点领域的公开，创新公开方式，提高公开实效，有力拓展了政务公开的广度和深度。</w:t>
      </w:r>
    </w:p>
    <w:p>
      <w:pPr>
        <w:bidi w:val="0"/>
        <w:rPr>
          <w:rFonts w:hint="default" w:ascii="仿宋" w:hAnsi="仿宋" w:eastAsia="仿宋" w:cs="仿宋"/>
          <w:sz w:val="30"/>
          <w:szCs w:val="30"/>
          <w:lang w:val="en-US" w:eastAsia="zh-CN"/>
        </w:rPr>
      </w:pPr>
      <w:r>
        <w:rPr>
          <w:rFonts w:hint="eastAsia" w:ascii="仿宋" w:hAnsi="仿宋" w:eastAsia="仿宋" w:cs="仿宋"/>
          <w:sz w:val="30"/>
          <w:szCs w:val="30"/>
        </w:rPr>
        <w:t>　</w:t>
      </w:r>
      <w:r>
        <w:rPr>
          <w:rFonts w:hint="eastAsia" w:ascii="楷体_GB2312" w:hAnsi="楷体_GB2312" w:eastAsia="楷体_GB2312" w:cs="楷体_GB2312"/>
          <w:sz w:val="30"/>
          <w:szCs w:val="30"/>
        </w:rPr>
        <w:t>　（一）政府信息</w:t>
      </w:r>
      <w:r>
        <w:rPr>
          <w:rFonts w:hint="eastAsia" w:ascii="楷体_GB2312" w:hAnsi="楷体_GB2312" w:eastAsia="楷体_GB2312" w:cs="楷体_GB2312"/>
          <w:sz w:val="30"/>
          <w:szCs w:val="30"/>
          <w:lang w:val="en-US" w:eastAsia="zh-CN"/>
        </w:rPr>
        <w:t>及时主动公开</w:t>
      </w:r>
    </w:p>
    <w:p>
      <w:pPr>
        <w:bidi w:val="0"/>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年累计主动公开政府信息</w:t>
      </w:r>
      <w:r>
        <w:rPr>
          <w:rFonts w:hint="eastAsia" w:ascii="仿宋_GB2312" w:hAnsi="仿宋_GB2312" w:eastAsia="仿宋_GB2312" w:cs="仿宋_GB2312"/>
          <w:sz w:val="30"/>
          <w:szCs w:val="30"/>
          <w:lang w:val="en-US" w:eastAsia="zh-CN"/>
        </w:rPr>
        <w:t>86</w:t>
      </w:r>
      <w:r>
        <w:rPr>
          <w:rFonts w:hint="eastAsia" w:ascii="仿宋_GB2312" w:hAnsi="仿宋_GB2312" w:eastAsia="仿宋_GB2312" w:cs="仿宋_GB2312"/>
          <w:sz w:val="30"/>
          <w:szCs w:val="30"/>
        </w:rPr>
        <w:t>条。其中包括：政策文件</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条，建议提案办理</w:t>
      </w:r>
      <w:r>
        <w:rPr>
          <w:rFonts w:hint="eastAsia" w:ascii="仿宋_GB2312" w:hAnsi="仿宋_GB2312" w:eastAsia="仿宋_GB2312" w:cs="仿宋_GB2312"/>
          <w:sz w:val="30"/>
          <w:szCs w:val="30"/>
          <w:lang w:val="en-US" w:eastAsia="zh-CN"/>
        </w:rPr>
        <w:t>36</w:t>
      </w:r>
      <w:r>
        <w:rPr>
          <w:rFonts w:hint="eastAsia" w:ascii="仿宋_GB2312" w:hAnsi="仿宋_GB2312" w:eastAsia="仿宋_GB2312" w:cs="仿宋_GB2312"/>
          <w:sz w:val="30"/>
          <w:szCs w:val="30"/>
        </w:rPr>
        <w:t>条，机构领导</w:t>
      </w:r>
      <w:r>
        <w:rPr>
          <w:rFonts w:hint="eastAsia" w:ascii="仿宋_GB2312" w:hAnsi="仿宋_GB2312" w:eastAsia="仿宋_GB2312" w:cs="仿宋_GB2312"/>
          <w:sz w:val="30"/>
          <w:szCs w:val="30"/>
          <w:lang w:val="en-US" w:eastAsia="zh-CN"/>
        </w:rPr>
        <w:t>32</w:t>
      </w:r>
      <w:r>
        <w:rPr>
          <w:rFonts w:hint="eastAsia" w:ascii="仿宋_GB2312" w:hAnsi="仿宋_GB2312" w:eastAsia="仿宋_GB2312" w:cs="仿宋_GB2312"/>
          <w:sz w:val="30"/>
          <w:szCs w:val="30"/>
        </w:rPr>
        <w:t>条，财政资金</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条，统计信息2条，应急管理1条，政策解读</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条，重点领域信息</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条</w:t>
      </w:r>
      <w:r>
        <w:rPr>
          <w:rFonts w:hint="eastAsia" w:ascii="仿宋_GB2312" w:hAnsi="仿宋_GB2312" w:eastAsia="仿宋_GB2312" w:cs="仿宋_GB2312"/>
          <w:sz w:val="30"/>
          <w:szCs w:val="30"/>
          <w:lang w:eastAsia="zh-CN"/>
        </w:rPr>
        <w:t>，党务信息</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lang w:eastAsia="zh-CN"/>
        </w:rPr>
        <w:t>条。</w:t>
      </w:r>
      <w:r>
        <w:rPr>
          <w:rFonts w:hint="eastAsia" w:ascii="仿宋_GB2312" w:hAnsi="仿宋_GB2312" w:eastAsia="仿宋_GB2312" w:cs="仿宋_GB2312"/>
          <w:sz w:val="30"/>
          <w:szCs w:val="30"/>
        </w:rPr>
        <w:t>公开的主要内容包括年度相关政策文件、人大代表建议和政协委员提案办理结果、财务预决算、中小学幼儿园招生政策、教育督导、义务教育、学前教育、职业教育、学生资助</w:t>
      </w:r>
      <w:r>
        <w:rPr>
          <w:rFonts w:hint="eastAsia" w:ascii="仿宋_GB2312" w:hAnsi="仿宋_GB2312" w:eastAsia="仿宋_GB2312" w:cs="仿宋_GB2312"/>
          <w:sz w:val="30"/>
          <w:szCs w:val="30"/>
          <w:lang w:eastAsia="zh-CN"/>
        </w:rPr>
        <w:t>信</w:t>
      </w:r>
      <w:r>
        <w:rPr>
          <w:rFonts w:hint="eastAsia" w:ascii="仿宋_GB2312" w:hAnsi="仿宋_GB2312" w:eastAsia="仿宋_GB2312" w:cs="仿宋_GB2312"/>
          <w:sz w:val="30"/>
          <w:szCs w:val="30"/>
        </w:rPr>
        <w:t>息等。</w:t>
      </w:r>
    </w:p>
    <w:p>
      <w:pPr>
        <w:bidi w:val="0"/>
        <w:rPr>
          <w:rFonts w:hint="default" w:ascii="仿宋" w:hAnsi="仿宋" w:eastAsia="仿宋" w:cs="仿宋"/>
          <w:sz w:val="30"/>
          <w:szCs w:val="30"/>
          <w:lang w:val="en-US" w:eastAsia="zh-CN"/>
        </w:rPr>
      </w:pPr>
      <w:r>
        <w:rPr>
          <w:rFonts w:hint="eastAsia" w:ascii="仿宋" w:hAnsi="仿宋" w:eastAsia="仿宋" w:cs="仿宋"/>
          <w:sz w:val="30"/>
          <w:szCs w:val="30"/>
        </w:rPr>
        <w:t>　</w:t>
      </w:r>
      <w:r>
        <w:rPr>
          <w:rFonts w:hint="eastAsia" w:ascii="楷体_GB2312" w:hAnsi="楷体_GB2312" w:eastAsia="楷体_GB2312" w:cs="楷体_GB2312"/>
          <w:sz w:val="30"/>
          <w:szCs w:val="30"/>
        </w:rPr>
        <w:t>　（二）依申请公开</w:t>
      </w:r>
      <w:r>
        <w:rPr>
          <w:rFonts w:hint="eastAsia" w:ascii="楷体_GB2312" w:hAnsi="楷体_GB2312" w:eastAsia="楷体_GB2312" w:cs="楷体_GB2312"/>
          <w:sz w:val="30"/>
          <w:szCs w:val="30"/>
          <w:lang w:val="en-US" w:eastAsia="zh-CN"/>
        </w:rPr>
        <w:t>件及时规范办理</w:t>
      </w:r>
    </w:p>
    <w:p>
      <w:pPr>
        <w:bidi w:val="0"/>
        <w:rPr>
          <w:rFonts w:hint="eastAsia" w:ascii="仿宋" w:hAnsi="仿宋" w:eastAsia="仿宋" w:cs="仿宋"/>
          <w:sz w:val="30"/>
          <w:szCs w:val="30"/>
        </w:rPr>
      </w:pPr>
      <w:r>
        <w:rPr>
          <w:rFonts w:hint="eastAsia" w:ascii="仿宋" w:hAnsi="仿宋" w:eastAsia="仿宋" w:cs="仿宋"/>
          <w:sz w:val="30"/>
          <w:szCs w:val="30"/>
        </w:rPr>
        <w:t>　　202</w:t>
      </w:r>
      <w:r>
        <w:rPr>
          <w:rFonts w:hint="eastAsia" w:ascii="仿宋" w:hAnsi="仿宋" w:eastAsia="仿宋" w:cs="仿宋"/>
          <w:sz w:val="30"/>
          <w:szCs w:val="30"/>
          <w:lang w:val="en-US" w:eastAsia="zh-CN"/>
        </w:rPr>
        <w:t>3</w:t>
      </w:r>
      <w:r>
        <w:rPr>
          <w:rFonts w:hint="eastAsia" w:ascii="仿宋" w:hAnsi="仿宋" w:eastAsia="仿宋" w:cs="仿宋"/>
          <w:sz w:val="30"/>
          <w:szCs w:val="30"/>
        </w:rPr>
        <w:t>年，市教育体育局共收到</w:t>
      </w:r>
      <w:r>
        <w:rPr>
          <w:rFonts w:hint="eastAsia" w:ascii="仿宋" w:hAnsi="仿宋" w:eastAsia="仿宋" w:cs="仿宋"/>
          <w:sz w:val="30"/>
          <w:szCs w:val="30"/>
          <w:lang w:val="en-US" w:eastAsia="zh-CN"/>
        </w:rPr>
        <w:t>2</w:t>
      </w:r>
      <w:r>
        <w:rPr>
          <w:rFonts w:hint="eastAsia" w:ascii="仿宋" w:hAnsi="仿宋" w:eastAsia="仿宋" w:cs="仿宋"/>
          <w:sz w:val="30"/>
          <w:szCs w:val="30"/>
        </w:rPr>
        <w:t>个依申请公开事项，并在规定时间内予以答复。未发生行政复议和行政诉讼案件。</w:t>
      </w:r>
    </w:p>
    <w:p>
      <w:pPr>
        <w:bidi w:val="0"/>
        <w:rPr>
          <w:rFonts w:hint="default" w:ascii="仿宋" w:hAnsi="仿宋" w:eastAsia="仿宋" w:cs="仿宋"/>
          <w:sz w:val="30"/>
          <w:szCs w:val="30"/>
          <w:lang w:val="en-US" w:eastAsia="zh-CN"/>
        </w:rPr>
      </w:pPr>
      <w:r>
        <w:rPr>
          <w:rFonts w:hint="eastAsia" w:ascii="仿宋" w:hAnsi="仿宋" w:eastAsia="仿宋" w:cs="仿宋"/>
          <w:sz w:val="30"/>
          <w:szCs w:val="30"/>
        </w:rPr>
        <w:t>　　</w:t>
      </w:r>
      <w:r>
        <w:rPr>
          <w:rFonts w:hint="eastAsia" w:ascii="楷体_GB2312" w:hAnsi="楷体_GB2312" w:eastAsia="楷体_GB2312" w:cs="楷体_GB2312"/>
          <w:sz w:val="30"/>
          <w:szCs w:val="30"/>
        </w:rPr>
        <w:t>（三）</w:t>
      </w:r>
      <w:r>
        <w:rPr>
          <w:rFonts w:hint="eastAsia" w:ascii="楷体_GB2312" w:hAnsi="楷体_GB2312" w:eastAsia="楷体_GB2312" w:cs="楷体_GB2312"/>
          <w:sz w:val="30"/>
          <w:szCs w:val="30"/>
          <w:lang w:val="en-US" w:eastAsia="zh-CN"/>
        </w:rPr>
        <w:t>政策文件解读规范详实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default"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　　不断丰富政策解读形式，强化解读效果。就广大群众重点关注的《鄂尔多斯市高中阶段学校考试招生制度改革实施方案》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鄂尔多斯市全民健身实施计划（2021—2025年）》等，通过文字、图解、视频、新闻发布会等多种形式，将政策背景、新旧政策差异、具体举措等进行了深入浅出的解读，收到了良好的效果，政策解读工作已步入规范化、常态化轨道。</w:t>
      </w:r>
    </w:p>
    <w:p>
      <w:pPr>
        <w:bidi w:val="0"/>
        <w:rPr>
          <w:rFonts w:hint="eastAsia" w:ascii="仿宋" w:hAnsi="仿宋" w:eastAsia="仿宋" w:cs="仿宋"/>
          <w:sz w:val="30"/>
          <w:szCs w:val="30"/>
          <w:lang w:val="en-US" w:eastAsia="zh-CN"/>
        </w:rPr>
      </w:pPr>
      <w:r>
        <w:rPr>
          <w:rFonts w:hint="eastAsia" w:ascii="仿宋" w:hAnsi="仿宋" w:eastAsia="仿宋" w:cs="仿宋"/>
          <w:sz w:val="30"/>
          <w:szCs w:val="30"/>
        </w:rPr>
        <w:t>　　</w:t>
      </w:r>
      <w:r>
        <w:rPr>
          <w:rFonts w:hint="eastAsia" w:ascii="楷体_GB2312" w:hAnsi="楷体_GB2312" w:eastAsia="楷体_GB2312" w:cs="楷体_GB2312"/>
          <w:sz w:val="30"/>
          <w:szCs w:val="30"/>
        </w:rPr>
        <w:t>（四）政府信息管理</w:t>
      </w:r>
      <w:r>
        <w:rPr>
          <w:rFonts w:hint="eastAsia" w:ascii="楷体_GB2312" w:hAnsi="楷体_GB2312" w:eastAsia="楷体_GB2312" w:cs="楷体_GB2312"/>
          <w:sz w:val="30"/>
          <w:szCs w:val="30"/>
          <w:lang w:val="en-US" w:eastAsia="zh-CN"/>
        </w:rPr>
        <w:t>高效有序</w:t>
      </w:r>
    </w:p>
    <w:p>
      <w:pPr>
        <w:bidi w:val="0"/>
        <w:rPr>
          <w:rFonts w:hint="eastAsia" w:ascii="仿宋" w:hAnsi="仿宋" w:eastAsia="仿宋" w:cs="仿宋"/>
          <w:sz w:val="30"/>
          <w:szCs w:val="30"/>
        </w:rPr>
      </w:pPr>
      <w:r>
        <w:rPr>
          <w:rFonts w:hint="eastAsia" w:ascii="仿宋" w:hAnsi="仿宋" w:eastAsia="仿宋" w:cs="仿宋"/>
          <w:sz w:val="30"/>
          <w:szCs w:val="30"/>
        </w:rPr>
        <w:t>　　加强政府信息源头管理，坚持“公开为常态、不公开为例外”，按照“主动公开”、“依申请公开”和“不予公开”三种公开属性，对履行职责中制作或获取并保存的信息逐条确认其公开属性。不断完善政务公开工作制度，建立政府信息公开审查机制，明确审查的程序和责任，并严格落实，确保政府信息公开在制度框架下有序、有效推进。</w:t>
      </w:r>
    </w:p>
    <w:p>
      <w:pPr>
        <w:bidi w:val="0"/>
        <w:rPr>
          <w:rFonts w:hint="eastAsia" w:ascii="仿宋" w:hAnsi="仿宋" w:eastAsia="仿宋" w:cs="仿宋"/>
          <w:sz w:val="30"/>
          <w:szCs w:val="30"/>
          <w:lang w:val="en-US" w:eastAsia="zh-CN"/>
        </w:rPr>
      </w:pPr>
      <w:r>
        <w:rPr>
          <w:rFonts w:hint="eastAsia" w:ascii="仿宋" w:hAnsi="仿宋" w:eastAsia="仿宋" w:cs="仿宋"/>
          <w:sz w:val="30"/>
          <w:szCs w:val="30"/>
        </w:rPr>
        <w:t>　</w:t>
      </w:r>
      <w:r>
        <w:rPr>
          <w:rFonts w:hint="eastAsia" w:ascii="楷体_GB2312" w:hAnsi="楷体_GB2312" w:eastAsia="楷体_GB2312" w:cs="楷体_GB2312"/>
          <w:sz w:val="30"/>
          <w:szCs w:val="30"/>
        </w:rPr>
        <w:t>　（五）信息公开平台建设</w:t>
      </w:r>
      <w:r>
        <w:rPr>
          <w:rFonts w:hint="eastAsia" w:ascii="楷体_GB2312" w:hAnsi="楷体_GB2312" w:eastAsia="楷体_GB2312" w:cs="楷体_GB2312"/>
          <w:sz w:val="30"/>
          <w:szCs w:val="30"/>
          <w:lang w:val="en-US" w:eastAsia="zh-CN"/>
        </w:rPr>
        <w:t>持续强化</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2023年，全市教体系统被市级以上媒体报道共1689次，其中国家级媒体（含主站平台）报道299次，国家级媒体内蒙古平台、自治区级媒体及自治区教育、体育行业领域新媒体平台报道826次，市级媒体平台报道564次。近30篇报道在新华社内蒙古频道客户端阅读量达100万+以上。教师节期间，制作《暖城教育 十年芳华》宣传片在视频号上浏览量达5.5万，微博浏览量达1.8万。通过中国教育电视台，联合市融媒对高考保障情况在快手进行多链路直播，制作发布《萌娃开学季》、鄂尔多斯市首届中小学生运动会等视频，完成自有平台首推并吸引流量，逐步做大做强自有平台。</w:t>
      </w:r>
    </w:p>
    <w:p>
      <w:pPr>
        <w:bidi w:val="0"/>
        <w:ind w:firstLine="611"/>
        <w:rPr>
          <w:rFonts w:hint="eastAsia" w:ascii="仿宋" w:hAnsi="仿宋" w:eastAsia="仿宋" w:cs="仿宋"/>
          <w:sz w:val="30"/>
          <w:szCs w:val="30"/>
        </w:rPr>
      </w:pPr>
      <w:r>
        <w:rPr>
          <w:rFonts w:hint="eastAsia" w:ascii="仿宋" w:hAnsi="仿宋" w:eastAsia="仿宋" w:cs="仿宋"/>
          <w:sz w:val="30"/>
          <w:szCs w:val="30"/>
          <w:lang w:eastAsia="zh-CN"/>
        </w:rPr>
        <w:t>2023年，微博发布信息34篇，阅读量20.8万人次；微信公众号发布信息2398篇，阅读量158.7万人次，其中单篇信息阅读量5000人次以上的33篇，1万人次以上的16篇；“鄂尔多斯教育体育之窗”视频号发布视频20</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条，浏览量64万余次；被自治区及市内相关平台广泛转发，积极弘扬主旋律，传播正能量。按照“简洁、大方、便民、有特色”的原则，对市教体局官方网站进行了改版升级，并上线适老化界面。</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w:t>
      </w:r>
    </w:p>
    <w:p>
      <w:pPr>
        <w:bidi w:val="0"/>
        <w:ind w:firstLine="600" w:firstLineChars="200"/>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rPr>
        <w:t>（六）及时回应社会关切</w:t>
      </w:r>
      <w:r>
        <w:rPr>
          <w:rFonts w:hint="eastAsia" w:ascii="楷体_GB2312" w:hAnsi="楷体_GB2312" w:eastAsia="楷体_GB2312" w:cs="楷体_GB2312"/>
          <w:sz w:val="30"/>
          <w:szCs w:val="30"/>
          <w:lang w:val="en-US" w:eastAsia="zh-CN"/>
        </w:rPr>
        <w:t>热点问题</w:t>
      </w:r>
    </w:p>
    <w:p>
      <w:pPr>
        <w:bidi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及时解答群众疑惑，听取群众诉求，记录群众意见建议，深入推进“我为群众办实事”实践。重点回应教体系统疫情防控要求、“双减”政策落实，有效应对涉教育网上热点舆情，社会各界反响良好，舆论态势总体平稳。累计答复人民网书记、市长信箱群众留言3条，答复市教育体育局局长信箱114条，接听群众热线电话9000余个。</w:t>
      </w:r>
      <w:bookmarkStart w:id="0" w:name="_GoBack"/>
      <w:bookmarkEnd w:id="0"/>
    </w:p>
    <w:p>
      <w:pPr>
        <w:bidi w:val="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w:t>
      </w:r>
      <w:r>
        <w:rPr>
          <w:rFonts w:hint="eastAsia" w:ascii="楷体_GB2312" w:hAnsi="楷体_GB2312" w:eastAsia="楷体_GB2312" w:cs="楷体_GB2312"/>
          <w:sz w:val="30"/>
          <w:szCs w:val="30"/>
          <w:lang w:val="en-US" w:eastAsia="zh-CN"/>
        </w:rPr>
        <w:t>　（七）监督保障机制不断健全</w:t>
      </w:r>
    </w:p>
    <w:p>
      <w:pPr>
        <w:bidi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将政府信息公开工作纳入对局机关各科室年终考核。就2023年市教育体育局工作向全市市民作述职报告，并广泛接受社会评议。2022年无因政府信息公开工作造成不良影响的科室和个人。</w:t>
      </w:r>
    </w:p>
    <w:p>
      <w:pPr>
        <w:bidi w:val="0"/>
        <w:ind w:firstLine="600" w:firstLineChars="200"/>
        <w:rPr>
          <w:rFonts w:hint="eastAsia" w:ascii="黑体" w:hAnsi="黑体" w:eastAsia="黑体" w:cs="黑体"/>
          <w:sz w:val="30"/>
          <w:szCs w:val="30"/>
        </w:rPr>
      </w:pPr>
      <w:r>
        <w:rPr>
          <w:rFonts w:hint="eastAsia" w:ascii="黑体" w:hAnsi="黑体" w:eastAsia="黑体" w:cs="黑体"/>
          <w:sz w:val="30"/>
          <w:szCs w:val="30"/>
        </w:rPr>
        <w:t>二、主动公开政府信息情况</w:t>
      </w:r>
    </w:p>
    <w:tbl>
      <w:tblPr>
        <w:tblStyle w:val="6"/>
        <w:tblW w:w="8336" w:type="dxa"/>
        <w:tblInd w:w="0" w:type="dxa"/>
        <w:tblLayout w:type="autofit"/>
        <w:tblCellMar>
          <w:top w:w="0" w:type="dxa"/>
          <w:left w:w="0" w:type="dxa"/>
          <w:bottom w:w="0" w:type="dxa"/>
          <w:right w:w="0" w:type="dxa"/>
        </w:tblCellMar>
      </w:tblPr>
      <w:tblGrid>
        <w:gridCol w:w="2565"/>
        <w:gridCol w:w="2768"/>
        <w:gridCol w:w="1321"/>
        <w:gridCol w:w="1682"/>
      </w:tblGrid>
      <w:tr>
        <w:tblPrEx>
          <w:tblCellMar>
            <w:top w:w="0" w:type="dxa"/>
            <w:left w:w="0" w:type="dxa"/>
            <w:bottom w:w="0" w:type="dxa"/>
            <w:right w:w="0" w:type="dxa"/>
          </w:tblCellMar>
        </w:tblPrEx>
        <w:trPr>
          <w:trHeight w:val="500" w:hRule="atLeast"/>
        </w:trPr>
        <w:tc>
          <w:tcPr>
            <w:tcW w:w="8336" w:type="dxa"/>
            <w:gridSpan w:val="4"/>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第二十条第（一）项</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信息内容</w:t>
            </w:r>
          </w:p>
        </w:tc>
        <w:tc>
          <w:tcPr>
            <w:tcW w:w="2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本年制发件数</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eastAsia="zh-CN"/>
              </w:rPr>
            </w:pPr>
            <w:r>
              <w:rPr>
                <w:rFonts w:hint="eastAsia" w:ascii="仿宋_GB2312" w:hAnsi="宋体" w:eastAsia="仿宋_GB2312" w:cs="仿宋_GB2312"/>
                <w:i w:val="0"/>
                <w:color w:val="000000"/>
                <w:sz w:val="22"/>
                <w:szCs w:val="22"/>
                <w:u w:val="none"/>
                <w:lang w:eastAsia="zh-CN"/>
              </w:rPr>
              <w:t>本年废止件数</w:t>
            </w:r>
          </w:p>
        </w:tc>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eastAsia="zh-CN"/>
              </w:rPr>
            </w:pPr>
            <w:r>
              <w:rPr>
                <w:rFonts w:hint="eastAsia" w:ascii="仿宋_GB2312" w:hAnsi="宋体" w:eastAsia="仿宋_GB2312" w:cs="仿宋_GB2312"/>
                <w:i w:val="0"/>
                <w:color w:val="000000"/>
                <w:sz w:val="22"/>
                <w:szCs w:val="22"/>
                <w:u w:val="none"/>
                <w:lang w:eastAsia="zh-CN"/>
              </w:rPr>
              <w:t>现行有效件数</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规章</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规范性文件</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14</w:t>
            </w:r>
          </w:p>
        </w:tc>
      </w:tr>
      <w:tr>
        <w:tblPrEx>
          <w:tblCellMar>
            <w:top w:w="0" w:type="dxa"/>
            <w:left w:w="0" w:type="dxa"/>
            <w:bottom w:w="0" w:type="dxa"/>
            <w:right w:w="0"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第二十条第（五）项</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信息内容</w:t>
            </w:r>
          </w:p>
        </w:tc>
        <w:tc>
          <w:tcPr>
            <w:tcW w:w="596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本年处理决定数量</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行政许可</w:t>
            </w:r>
          </w:p>
        </w:tc>
        <w:tc>
          <w:tcPr>
            <w:tcW w:w="596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1861</w:t>
            </w:r>
          </w:p>
        </w:tc>
      </w:tr>
      <w:tr>
        <w:tblPrEx>
          <w:tblCellMar>
            <w:top w:w="0" w:type="dxa"/>
            <w:left w:w="0" w:type="dxa"/>
            <w:bottom w:w="0" w:type="dxa"/>
            <w:right w:w="0"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第二十条第（六）项</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信息内容</w:t>
            </w:r>
          </w:p>
        </w:tc>
        <w:tc>
          <w:tcPr>
            <w:tcW w:w="596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本年处理决定数量</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行政处罚</w:t>
            </w:r>
          </w:p>
        </w:tc>
        <w:tc>
          <w:tcPr>
            <w:tcW w:w="596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0</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行政强制</w:t>
            </w:r>
          </w:p>
        </w:tc>
        <w:tc>
          <w:tcPr>
            <w:tcW w:w="596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0</w:t>
            </w:r>
          </w:p>
        </w:tc>
      </w:tr>
      <w:tr>
        <w:tblPrEx>
          <w:tblCellMar>
            <w:top w:w="0" w:type="dxa"/>
            <w:left w:w="0" w:type="dxa"/>
            <w:bottom w:w="0" w:type="dxa"/>
            <w:right w:w="0"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第二十条第（八）项</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信息内容</w:t>
            </w:r>
          </w:p>
        </w:tc>
        <w:tc>
          <w:tcPr>
            <w:tcW w:w="596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eastAsia="zh-CN"/>
              </w:rPr>
            </w:pPr>
            <w:r>
              <w:rPr>
                <w:rFonts w:hint="eastAsia" w:ascii="仿宋_GB2312" w:hAnsi="宋体" w:eastAsia="仿宋_GB2312" w:cs="仿宋_GB2312"/>
                <w:i w:val="0"/>
                <w:color w:val="000000"/>
                <w:sz w:val="22"/>
                <w:szCs w:val="22"/>
                <w:u w:val="none"/>
                <w:lang w:eastAsia="zh-CN"/>
              </w:rPr>
              <w:t>本年度收费金额（单位：万元）</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eastAsia="zh-CN"/>
              </w:rPr>
            </w:pPr>
            <w:r>
              <w:rPr>
                <w:rFonts w:hint="eastAsia" w:ascii="仿宋_GB2312" w:hAnsi="宋体" w:eastAsia="仿宋_GB2312" w:cs="仿宋_GB2312"/>
                <w:i w:val="0"/>
                <w:color w:val="000000"/>
                <w:sz w:val="22"/>
                <w:szCs w:val="22"/>
                <w:u w:val="none"/>
                <w:lang w:eastAsia="zh-CN"/>
              </w:rPr>
              <w:t>行政事业性收费</w:t>
            </w:r>
          </w:p>
        </w:tc>
        <w:tc>
          <w:tcPr>
            <w:tcW w:w="596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0</w:t>
            </w:r>
          </w:p>
        </w:tc>
      </w:tr>
    </w:tbl>
    <w:p>
      <w:pPr>
        <w:bidi w:val="0"/>
        <w:ind w:firstLine="600" w:firstLineChars="200"/>
        <w:rPr>
          <w:rFonts w:hint="eastAsia" w:ascii="黑体" w:hAnsi="黑体" w:eastAsia="黑体" w:cs="黑体"/>
          <w:sz w:val="30"/>
          <w:szCs w:val="30"/>
        </w:rPr>
      </w:pPr>
      <w:r>
        <w:rPr>
          <w:rFonts w:hint="eastAsia" w:ascii="黑体" w:hAnsi="黑体" w:eastAsia="黑体" w:cs="黑体"/>
          <w:sz w:val="30"/>
          <w:szCs w:val="30"/>
          <w:lang w:val="en-US" w:eastAsia="zh-CN"/>
        </w:rPr>
        <w:t>三、</w:t>
      </w:r>
      <w:r>
        <w:rPr>
          <w:rFonts w:hint="eastAsia" w:ascii="黑体" w:hAnsi="黑体" w:eastAsia="黑体" w:cs="黑体"/>
          <w:sz w:val="30"/>
          <w:szCs w:val="30"/>
        </w:rPr>
        <w:t>收到和处理政府信息公开申请情况</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26"/>
        <w:gridCol w:w="1144"/>
        <w:gridCol w:w="1886"/>
        <w:gridCol w:w="562"/>
        <w:gridCol w:w="633"/>
        <w:gridCol w:w="633"/>
        <w:gridCol w:w="775"/>
        <w:gridCol w:w="775"/>
        <w:gridCol w:w="491"/>
        <w:gridCol w:w="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3"/>
            <w:vMerge w:val="restart"/>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（本列数据的勾稽关系为：第一项加第二项之和，等于第三项加第四项之和）</w:t>
            </w:r>
          </w:p>
        </w:tc>
        <w:tc>
          <w:tcPr>
            <w:tcW w:w="0" w:type="auto"/>
            <w:gridSpan w:val="7"/>
            <w:tcBorders>
              <w:top w:val="single" w:color="auto" w:sz="6" w:space="0"/>
              <w:left w:val="nil"/>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3"/>
            <w:vMerge w:val="continue"/>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vMerge w:val="restart"/>
            <w:tcBorders>
              <w:top w:val="nil"/>
              <w:left w:val="nil"/>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自然人</w:t>
            </w:r>
          </w:p>
        </w:tc>
        <w:tc>
          <w:tcPr>
            <w:tcW w:w="0" w:type="auto"/>
            <w:gridSpan w:val="5"/>
            <w:tcBorders>
              <w:top w:val="single" w:color="auto" w:sz="6" w:space="0"/>
              <w:left w:val="nil"/>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法人或其他组织</w:t>
            </w:r>
          </w:p>
        </w:tc>
        <w:tc>
          <w:tcPr>
            <w:tcW w:w="0" w:type="auto"/>
            <w:vMerge w:val="restart"/>
            <w:tcBorders>
              <w:top w:val="single" w:color="auto" w:sz="6" w:space="0"/>
              <w:left w:val="nil"/>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3"/>
            <w:vMerge w:val="continue"/>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tcBorders>
              <w:top w:val="nil"/>
              <w:left w:val="nil"/>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商业企业</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科研机构</w:t>
            </w:r>
          </w:p>
        </w:tc>
        <w:tc>
          <w:tcPr>
            <w:tcW w:w="0" w:type="auto"/>
            <w:tcBorders>
              <w:top w:val="single" w:color="auto" w:sz="6" w:space="0"/>
              <w:left w:val="nil"/>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社会公益组织</w:t>
            </w:r>
          </w:p>
        </w:tc>
        <w:tc>
          <w:tcPr>
            <w:tcW w:w="0" w:type="auto"/>
            <w:tcBorders>
              <w:top w:val="single" w:color="auto" w:sz="6" w:space="0"/>
              <w:left w:val="nil"/>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法律服务机构</w:t>
            </w:r>
          </w:p>
        </w:tc>
        <w:tc>
          <w:tcPr>
            <w:tcW w:w="0" w:type="auto"/>
            <w:tcBorders>
              <w:top w:val="single" w:color="auto" w:sz="6" w:space="0"/>
              <w:left w:val="nil"/>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w:t>
            </w:r>
          </w:p>
        </w:tc>
        <w:tc>
          <w:tcPr>
            <w:tcW w:w="0" w:type="auto"/>
            <w:vMerge w:val="continue"/>
            <w:tcBorders>
              <w:top w:val="single" w:color="auto" w:sz="6" w:space="0"/>
              <w:left w:val="nil"/>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gridSpan w:val="3"/>
            <w:tcBorders>
              <w:top w:val="nil"/>
              <w:left w:val="single" w:color="auto" w:sz="6" w:space="0"/>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一、本年新收政府信息公开申请数量</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nil"/>
              <w:left w:val="single" w:color="auto" w:sz="6" w:space="0"/>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二、上年结转政府信息公开申请数量</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nil"/>
              <w:left w:val="single" w:color="auto" w:sz="6" w:space="0"/>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三、本年度办理结果</w:t>
            </w:r>
          </w:p>
        </w:tc>
        <w:tc>
          <w:tcPr>
            <w:tcW w:w="0" w:type="auto"/>
            <w:gridSpan w:val="2"/>
            <w:tcBorders>
              <w:top w:val="nil"/>
              <w:left w:val="nil"/>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（一）予以公开</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gridSpan w:val="2"/>
            <w:tcBorders>
              <w:top w:val="nil"/>
              <w:left w:val="nil"/>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（二）部分公开（区分处理的，只计这一情形，不计其他情形）</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vMerge w:val="restart"/>
            <w:tcBorders>
              <w:top w:val="nil"/>
              <w:left w:val="nil"/>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（三）不予公开</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1.属于国家秘密</w:t>
            </w:r>
          </w:p>
        </w:tc>
        <w:tc>
          <w:tcPr>
            <w:tcW w:w="562"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tcBorders>
              <w:top w:val="nil"/>
              <w:left w:val="nil"/>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2.其他法律行政法规禁止公开</w:t>
            </w:r>
          </w:p>
        </w:tc>
        <w:tc>
          <w:tcPr>
            <w:tcW w:w="562"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tcBorders>
              <w:top w:val="nil"/>
              <w:left w:val="nil"/>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3.危及“三安全一稳定”</w:t>
            </w:r>
          </w:p>
        </w:tc>
        <w:tc>
          <w:tcPr>
            <w:tcW w:w="562"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tcBorders>
              <w:top w:val="nil"/>
              <w:left w:val="nil"/>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4.保护第三方合法权益</w:t>
            </w:r>
          </w:p>
        </w:tc>
        <w:tc>
          <w:tcPr>
            <w:tcW w:w="562"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tcBorders>
              <w:top w:val="nil"/>
              <w:left w:val="nil"/>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5.属于三类内部事务信息</w:t>
            </w:r>
          </w:p>
        </w:tc>
        <w:tc>
          <w:tcPr>
            <w:tcW w:w="562"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tcBorders>
              <w:top w:val="nil"/>
              <w:left w:val="nil"/>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6.属于四类过程性信息</w:t>
            </w:r>
          </w:p>
        </w:tc>
        <w:tc>
          <w:tcPr>
            <w:tcW w:w="562"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tcBorders>
              <w:top w:val="nil"/>
              <w:left w:val="nil"/>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7.属于行政执法案卷</w:t>
            </w:r>
          </w:p>
        </w:tc>
        <w:tc>
          <w:tcPr>
            <w:tcW w:w="562"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tcBorders>
              <w:top w:val="nil"/>
              <w:left w:val="nil"/>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8.属于行政查询事项</w:t>
            </w:r>
          </w:p>
        </w:tc>
        <w:tc>
          <w:tcPr>
            <w:tcW w:w="562"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vMerge w:val="restart"/>
            <w:tcBorders>
              <w:top w:val="nil"/>
              <w:left w:val="nil"/>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（四）无法提供</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1.本机关不掌握相关政府信息</w:t>
            </w:r>
          </w:p>
        </w:tc>
        <w:tc>
          <w:tcPr>
            <w:tcW w:w="562"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tcBorders>
              <w:top w:val="nil"/>
              <w:left w:val="nil"/>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2.没有现成信息需要另行制作</w:t>
            </w:r>
          </w:p>
        </w:tc>
        <w:tc>
          <w:tcPr>
            <w:tcW w:w="562"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tcBorders>
              <w:top w:val="nil"/>
              <w:left w:val="nil"/>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3.补正后申请内容仍不明确</w:t>
            </w:r>
          </w:p>
        </w:tc>
        <w:tc>
          <w:tcPr>
            <w:tcW w:w="562"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vMerge w:val="restart"/>
            <w:tcBorders>
              <w:top w:val="nil"/>
              <w:left w:val="nil"/>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（五）不予处理</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1.信访举报投诉类申请</w:t>
            </w:r>
          </w:p>
        </w:tc>
        <w:tc>
          <w:tcPr>
            <w:tcW w:w="562"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tcBorders>
              <w:top w:val="nil"/>
              <w:left w:val="nil"/>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2.重复申请</w:t>
            </w:r>
          </w:p>
        </w:tc>
        <w:tc>
          <w:tcPr>
            <w:tcW w:w="562"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tcBorders>
              <w:top w:val="nil"/>
              <w:left w:val="nil"/>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3.要求提供公开出版物</w:t>
            </w:r>
          </w:p>
        </w:tc>
        <w:tc>
          <w:tcPr>
            <w:tcW w:w="562"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tcBorders>
              <w:top w:val="nil"/>
              <w:left w:val="nil"/>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4.无正当理由大量反复申请</w:t>
            </w:r>
          </w:p>
        </w:tc>
        <w:tc>
          <w:tcPr>
            <w:tcW w:w="562"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tcBorders>
              <w:top w:val="nil"/>
              <w:left w:val="nil"/>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5.要求行政机关确认或重新出具已获取信息</w:t>
            </w:r>
          </w:p>
        </w:tc>
        <w:tc>
          <w:tcPr>
            <w:tcW w:w="562"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gridSpan w:val="2"/>
            <w:tcBorders>
              <w:top w:val="nil"/>
              <w:left w:val="nil"/>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（六）其他处理</w:t>
            </w:r>
          </w:p>
        </w:tc>
        <w:tc>
          <w:tcPr>
            <w:tcW w:w="562"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6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7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c>
          <w:tcPr>
            <w:tcW w:w="491"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仿宋_GB2312" w:hAnsi="仿宋_GB2312" w:eastAsia="仿宋_GB2312" w:cs="仿宋_GB2312"/>
                <w:sz w:val="21"/>
                <w:szCs w:val="21"/>
              </w:rPr>
            </w:pPr>
          </w:p>
        </w:tc>
        <w:tc>
          <w:tcPr>
            <w:tcW w:w="0" w:type="auto"/>
            <w:gridSpan w:val="2"/>
            <w:tcBorders>
              <w:top w:val="nil"/>
              <w:left w:val="nil"/>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（七）总计</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nil"/>
              <w:left w:val="single" w:color="auto" w:sz="6" w:space="0"/>
              <w:bottom w:val="single" w:color="auto" w:sz="6" w:space="0"/>
              <w:right w:val="single" w:color="auto"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四、结转下年度继续办理</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0" w:type="auto"/>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bl>
    <w:p>
      <w:pPr>
        <w:ind w:firstLine="600" w:firstLineChars="200"/>
        <w:rPr>
          <w:rFonts w:hint="eastAsia" w:ascii="仿宋_GB2312" w:hAnsi="仿宋_GB2312" w:eastAsia="仿宋_GB2312" w:cs="仿宋_GB2312"/>
          <w:sz w:val="32"/>
          <w:szCs w:val="32"/>
        </w:rPr>
      </w:pPr>
      <w:r>
        <w:rPr>
          <w:rFonts w:hint="eastAsia" w:ascii="黑体" w:hAnsi="黑体" w:eastAsia="黑体" w:cs="黑体"/>
          <w:sz w:val="30"/>
          <w:szCs w:val="30"/>
        </w:rPr>
        <w:t>四、政府信息公开行政复议、行政诉讼情况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9"/>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40" w:type="dxa"/>
            <w:gridSpan w:val="5"/>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行政复议</w:t>
            </w:r>
          </w:p>
        </w:tc>
        <w:tc>
          <w:tcPr>
            <w:tcW w:w="5682" w:type="dxa"/>
            <w:gridSpan w:val="10"/>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68" w:type="dxa"/>
            <w:vMerge w:val="restart"/>
            <w:noWrap w:val="0"/>
            <w:vAlign w:val="top"/>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结果维持</w:t>
            </w:r>
          </w:p>
        </w:tc>
        <w:tc>
          <w:tcPr>
            <w:tcW w:w="568" w:type="dxa"/>
            <w:vMerge w:val="restart"/>
            <w:noWrap w:val="0"/>
            <w:vAlign w:val="top"/>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结果纠正</w:t>
            </w:r>
          </w:p>
        </w:tc>
        <w:tc>
          <w:tcPr>
            <w:tcW w:w="568" w:type="dxa"/>
            <w:vMerge w:val="restart"/>
            <w:noWrap w:val="0"/>
            <w:vAlign w:val="top"/>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其他结果</w:t>
            </w:r>
          </w:p>
        </w:tc>
        <w:tc>
          <w:tcPr>
            <w:tcW w:w="568" w:type="dxa"/>
            <w:vMerge w:val="restart"/>
            <w:noWrap w:val="0"/>
            <w:vAlign w:val="top"/>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尚未审结</w:t>
            </w:r>
          </w:p>
        </w:tc>
        <w:tc>
          <w:tcPr>
            <w:tcW w:w="568" w:type="dxa"/>
            <w:vMerge w:val="restart"/>
            <w:noWrap w:val="0"/>
            <w:vAlign w:val="top"/>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总计</w:t>
            </w:r>
          </w:p>
        </w:tc>
        <w:tc>
          <w:tcPr>
            <w:tcW w:w="2840" w:type="dxa"/>
            <w:gridSpan w:val="5"/>
            <w:noWrap w:val="0"/>
            <w:vAlign w:val="top"/>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未经复议直接起诉</w:t>
            </w:r>
          </w:p>
        </w:tc>
        <w:tc>
          <w:tcPr>
            <w:tcW w:w="2842" w:type="dxa"/>
            <w:gridSpan w:val="5"/>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568" w:type="dxa"/>
            <w:vMerge w:val="continue"/>
            <w:noWrap w:val="0"/>
            <w:vAlign w:val="top"/>
          </w:tcPr>
          <w:p>
            <w:pPr>
              <w:rPr>
                <w:rFonts w:hint="eastAsia" w:ascii="仿宋_GB2312" w:hAnsi="仿宋_GB2312" w:eastAsia="仿宋_GB2312" w:cs="仿宋_GB2312"/>
                <w:sz w:val="24"/>
                <w:szCs w:val="24"/>
                <w:vertAlign w:val="baseline"/>
              </w:rPr>
            </w:pPr>
          </w:p>
        </w:tc>
        <w:tc>
          <w:tcPr>
            <w:tcW w:w="568" w:type="dxa"/>
            <w:vMerge w:val="continue"/>
            <w:noWrap w:val="0"/>
            <w:vAlign w:val="top"/>
          </w:tcPr>
          <w:p>
            <w:pPr>
              <w:rPr>
                <w:rFonts w:hint="eastAsia" w:ascii="仿宋_GB2312" w:hAnsi="仿宋_GB2312" w:eastAsia="仿宋_GB2312" w:cs="仿宋_GB2312"/>
                <w:sz w:val="24"/>
                <w:szCs w:val="24"/>
                <w:vertAlign w:val="baseline"/>
              </w:rPr>
            </w:pPr>
          </w:p>
        </w:tc>
        <w:tc>
          <w:tcPr>
            <w:tcW w:w="568" w:type="dxa"/>
            <w:vMerge w:val="continue"/>
            <w:noWrap w:val="0"/>
            <w:vAlign w:val="top"/>
          </w:tcPr>
          <w:p>
            <w:pPr>
              <w:rPr>
                <w:rFonts w:hint="eastAsia" w:ascii="仿宋_GB2312" w:hAnsi="仿宋_GB2312" w:eastAsia="仿宋_GB2312" w:cs="仿宋_GB2312"/>
                <w:sz w:val="24"/>
                <w:szCs w:val="24"/>
                <w:vertAlign w:val="baseline"/>
              </w:rPr>
            </w:pPr>
          </w:p>
        </w:tc>
        <w:tc>
          <w:tcPr>
            <w:tcW w:w="568" w:type="dxa"/>
            <w:vMerge w:val="continue"/>
            <w:noWrap w:val="0"/>
            <w:vAlign w:val="top"/>
          </w:tcPr>
          <w:p>
            <w:pPr>
              <w:rPr>
                <w:rFonts w:hint="eastAsia" w:ascii="仿宋_GB2312" w:hAnsi="仿宋_GB2312" w:eastAsia="仿宋_GB2312" w:cs="仿宋_GB2312"/>
                <w:sz w:val="24"/>
                <w:szCs w:val="24"/>
                <w:vertAlign w:val="baseline"/>
              </w:rPr>
            </w:pPr>
          </w:p>
        </w:tc>
        <w:tc>
          <w:tcPr>
            <w:tcW w:w="568" w:type="dxa"/>
            <w:vMerge w:val="continue"/>
            <w:noWrap w:val="0"/>
            <w:vAlign w:val="top"/>
          </w:tcPr>
          <w:p>
            <w:pPr>
              <w:rPr>
                <w:rFonts w:hint="eastAsia" w:ascii="仿宋_GB2312" w:hAnsi="仿宋_GB2312" w:eastAsia="仿宋_GB2312" w:cs="仿宋_GB2312"/>
                <w:sz w:val="24"/>
                <w:szCs w:val="24"/>
                <w:vertAlign w:val="baseline"/>
              </w:rPr>
            </w:pPr>
          </w:p>
        </w:tc>
        <w:tc>
          <w:tcPr>
            <w:tcW w:w="568" w:type="dxa"/>
            <w:noWrap w:val="0"/>
            <w:vAlign w:val="top"/>
          </w:tcPr>
          <w:p>
            <w:pP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结果维持</w:t>
            </w:r>
          </w:p>
        </w:tc>
        <w:tc>
          <w:tcPr>
            <w:tcW w:w="568" w:type="dxa"/>
            <w:noWrap w:val="0"/>
            <w:vAlign w:val="top"/>
          </w:tcPr>
          <w:p>
            <w:pP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结果纠正</w:t>
            </w:r>
          </w:p>
        </w:tc>
        <w:tc>
          <w:tcPr>
            <w:tcW w:w="568" w:type="dxa"/>
            <w:noWrap w:val="0"/>
            <w:vAlign w:val="top"/>
          </w:tcPr>
          <w:p>
            <w:pP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其他结果</w:t>
            </w:r>
          </w:p>
        </w:tc>
        <w:tc>
          <w:tcPr>
            <w:tcW w:w="568" w:type="dxa"/>
            <w:noWrap w:val="0"/>
            <w:vAlign w:val="top"/>
          </w:tcPr>
          <w:p>
            <w:pP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尚未审结</w:t>
            </w:r>
          </w:p>
        </w:tc>
        <w:tc>
          <w:tcPr>
            <w:tcW w:w="568" w:type="dxa"/>
            <w:noWrap w:val="0"/>
            <w:vAlign w:val="top"/>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总计</w:t>
            </w:r>
          </w:p>
        </w:tc>
        <w:tc>
          <w:tcPr>
            <w:tcW w:w="568" w:type="dxa"/>
            <w:noWrap w:val="0"/>
            <w:vAlign w:val="top"/>
          </w:tcPr>
          <w:p>
            <w:pP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结果维持</w:t>
            </w:r>
          </w:p>
        </w:tc>
        <w:tc>
          <w:tcPr>
            <w:tcW w:w="568" w:type="dxa"/>
            <w:noWrap w:val="0"/>
            <w:vAlign w:val="top"/>
          </w:tcPr>
          <w:p>
            <w:pP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结果纠正</w:t>
            </w:r>
          </w:p>
        </w:tc>
        <w:tc>
          <w:tcPr>
            <w:tcW w:w="568" w:type="dxa"/>
            <w:noWrap w:val="0"/>
            <w:vAlign w:val="top"/>
          </w:tcPr>
          <w:p>
            <w:pP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其他结果</w:t>
            </w:r>
          </w:p>
        </w:tc>
        <w:tc>
          <w:tcPr>
            <w:tcW w:w="569" w:type="dxa"/>
            <w:noWrap w:val="0"/>
            <w:vAlign w:val="top"/>
          </w:tcPr>
          <w:p>
            <w:pP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尚未审结</w:t>
            </w:r>
          </w:p>
        </w:tc>
        <w:tc>
          <w:tcPr>
            <w:tcW w:w="569" w:type="dxa"/>
            <w:noWrap w:val="0"/>
            <w:vAlign w:val="top"/>
          </w:tcPr>
          <w:p>
            <w:pP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68"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568"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568"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568"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568"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568"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568"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568"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568"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568"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568" w:type="dxa"/>
            <w:noWrap w:val="0"/>
            <w:vAlign w:val="top"/>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0</w:t>
            </w:r>
          </w:p>
        </w:tc>
        <w:tc>
          <w:tcPr>
            <w:tcW w:w="568" w:type="dxa"/>
            <w:noWrap w:val="0"/>
            <w:vAlign w:val="top"/>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0</w:t>
            </w:r>
          </w:p>
        </w:tc>
        <w:tc>
          <w:tcPr>
            <w:tcW w:w="568" w:type="dxa"/>
            <w:noWrap w:val="0"/>
            <w:vAlign w:val="top"/>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0</w:t>
            </w:r>
          </w:p>
        </w:tc>
        <w:tc>
          <w:tcPr>
            <w:tcW w:w="569" w:type="dxa"/>
            <w:noWrap w:val="0"/>
            <w:vAlign w:val="top"/>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0</w:t>
            </w:r>
          </w:p>
        </w:tc>
        <w:tc>
          <w:tcPr>
            <w:tcW w:w="569" w:type="dxa"/>
            <w:noWrap w:val="0"/>
            <w:vAlign w:val="top"/>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0</w:t>
            </w:r>
          </w:p>
        </w:tc>
      </w:tr>
    </w:tbl>
    <w:p>
      <w:pPr>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　五、存在的主要问题及改进措施</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2023年，我局政府信息公开工作在全市教体系统的共同努力下取得了一定成效，但离上级部门要求、群众期盼仍有需继续提升和改进的地方，主要表现在政策解读的时效性、解读形式的多样性方面有差距，政务公开成果转化运用上总体上不深入，信息公开工作人员队伍不稳定、业务水平发展不均衡。</w:t>
      </w:r>
    </w:p>
    <w:p>
      <w:pPr>
        <w:bidi w:val="0"/>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2024年，我局将按上级工作部署，紧盯工作中反映出的问题短板，一是持续推进政策解读工作提质增效。围绕公众关注度高、涉及面广的重点工作和民生政策，以公众易于接受的形式语言，准确全面解读重要政策内容。合理运用政务新媒体、新闻发布会等形式，拓展政策解读传播范围；二是加大政务公开规范化标准化成果推广力度，巩固完善现有栏目的信息公开发布工作，按上级文件要求积极做好教体系统相关的公开内容梳理及发布，及时协调解决遇到的难点和问题。</w:t>
      </w:r>
    </w:p>
    <w:p>
      <w:pPr>
        <w:bidi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w:t>
      </w:r>
      <w:r>
        <w:rPr>
          <w:rFonts w:hint="eastAsia" w:ascii="黑体" w:hAnsi="黑体" w:eastAsia="黑体" w:cs="黑体"/>
          <w:sz w:val="30"/>
          <w:szCs w:val="30"/>
          <w:lang w:val="en-US" w:eastAsia="zh-CN"/>
        </w:rPr>
        <w:t>　六、其他需要报告的事项</w:t>
      </w:r>
    </w:p>
    <w:p>
      <w:pPr>
        <w:bidi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（一）依据有关规定，全年未发生提供政府信息收取费用的情况。</w:t>
      </w:r>
    </w:p>
    <w:p>
      <w:pPr>
        <w:bidi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二）其他需要通过年度报告予以报告的事项。将贯彻落实鄂尔多斯市2023年政务公开工作要点作为年度重点工作，逐项落实工作台账任务，通过多种形式公开学前教育、义务教育和高中阶段教育供给及学生资助等方面信息；按照政府网站、政务新媒体建设统一要求，不断完善政务公开平台。</w:t>
      </w:r>
    </w:p>
    <w:p>
      <w:pPr>
        <w:bidi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如对本年报有任何疑问，请与鄂尔多斯市教育体育局办公室联系（地址：鄂尔多斯市康巴什区教育体育大厦1313室，邮编：017010，电话/传真:0477-8598811）。</w:t>
      </w:r>
    </w:p>
    <w:p>
      <w:pPr>
        <w:bidi w:val="0"/>
        <w:rPr>
          <w:rFonts w:hint="eastAsia" w:ascii="仿宋" w:hAnsi="仿宋" w:eastAsia="仿宋" w:cs="仿宋"/>
          <w:sz w:val="30"/>
          <w:szCs w:val="30"/>
          <w:lang w:val="en-US" w:eastAsia="zh-CN"/>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方正书宋_GBK"/>
    <w:panose1 w:val="02000000000000000000"/>
    <w:charset w:val="00"/>
    <w:family w:val="auto"/>
    <w:pitch w:val="default"/>
    <w:sig w:usb0="00000000" w:usb1="00000000"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MjNmNmFhNzc4YTZmOWY0ZWZiNTgwYjgxY2FmYmMifQ=="/>
  </w:docVars>
  <w:rsids>
    <w:rsidRoot w:val="00000000"/>
    <w:rsid w:val="160B09F0"/>
    <w:rsid w:val="2B061442"/>
    <w:rsid w:val="3E981A60"/>
    <w:rsid w:val="6D940E8D"/>
    <w:rsid w:val="7CBA380F"/>
    <w:rsid w:val="F7DF6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afterLines="0"/>
    </w:pPr>
    <w:rPr>
      <w:rFonts w:hint="default"/>
    </w:rPr>
  </w:style>
  <w:style w:type="paragraph" w:styleId="4">
    <w:name w:val="index 9"/>
    <w:basedOn w:val="1"/>
    <w:next w:val="1"/>
    <w:qFormat/>
    <w:uiPriority w:val="0"/>
    <w:pPr>
      <w:ind w:left="336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2024-01-26T15:05:00Z</dcterms:created>
  <dc:creator>Administrator</dc:creator>
  <cp:lastModifiedBy>greatwall</cp:lastModifiedBy>
  <dcterms:modified xsi:type="dcterms:W3CDTF">2024-01-29T17:14:04Z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D6BD9A593D224B64B3F4F18F71A313DA_12</vt:lpwstr>
  </property>
</Properties>
</file>