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B8DE4">
      <w:pPr>
        <w:tabs>
          <w:tab w:val="left" w:pos="8280"/>
        </w:tabs>
        <w:spacing w:line="580" w:lineRule="exact"/>
        <w:ind w:right="26" w:firstLine="0" w:firstLineChars="0"/>
        <w:jc w:val="right"/>
        <w:rPr>
          <w:rFonts w:hint="eastAsia" w:eastAsia="仿宋"/>
        </w:rPr>
      </w:pPr>
    </w:p>
    <w:p w14:paraId="3AA5371F">
      <w:pPr>
        <w:tabs>
          <w:tab w:val="left" w:pos="8280"/>
        </w:tabs>
        <w:spacing w:line="580" w:lineRule="exact"/>
        <w:ind w:right="26" w:firstLine="0" w:firstLineChars="0"/>
        <w:jc w:val="right"/>
        <w:rPr>
          <w:rFonts w:eastAsia="仿宋"/>
        </w:rPr>
      </w:pPr>
    </w:p>
    <w:p w14:paraId="0A2DACA3">
      <w:pPr>
        <w:pStyle w:val="2"/>
        <w:spacing w:line="580" w:lineRule="exact"/>
        <w:ind w:firstLine="640"/>
        <w:rPr>
          <w:rFonts w:eastAsia="仿宋"/>
        </w:rPr>
      </w:pPr>
    </w:p>
    <w:p w14:paraId="6100A1E9">
      <w:pPr>
        <w:pStyle w:val="2"/>
        <w:spacing w:line="580" w:lineRule="exact"/>
        <w:ind w:firstLine="640"/>
        <w:rPr>
          <w:rFonts w:eastAsia="仿宋"/>
        </w:rPr>
      </w:pPr>
    </w:p>
    <w:p w14:paraId="2352C64B">
      <w:pPr>
        <w:pStyle w:val="2"/>
        <w:spacing w:line="580" w:lineRule="exact"/>
        <w:ind w:firstLine="640"/>
        <w:rPr>
          <w:rFonts w:eastAsia="仿宋"/>
        </w:rPr>
      </w:pPr>
    </w:p>
    <w:p w14:paraId="74AC69D5">
      <w:pPr>
        <w:pStyle w:val="2"/>
        <w:spacing w:line="580" w:lineRule="exact"/>
        <w:ind w:firstLine="640"/>
        <w:rPr>
          <w:rFonts w:eastAsia="仿宋"/>
        </w:rPr>
      </w:pPr>
    </w:p>
    <w:p w14:paraId="4B6CE814">
      <w:pPr>
        <w:pStyle w:val="2"/>
        <w:spacing w:line="580" w:lineRule="exact"/>
        <w:ind w:firstLine="640"/>
        <w:rPr>
          <w:rFonts w:eastAsia="仿宋"/>
        </w:rPr>
      </w:pPr>
    </w:p>
    <w:p w14:paraId="67EFA9F6">
      <w:pPr>
        <w:pStyle w:val="3"/>
        <w:spacing w:line="580" w:lineRule="exact"/>
        <w:ind w:left="0" w:leftChars="0" w:firstLine="0" w:firstLineChars="0"/>
      </w:pPr>
    </w:p>
    <w:p w14:paraId="139943A3">
      <w:pPr>
        <w:pStyle w:val="9"/>
        <w:spacing w:line="580" w:lineRule="exact"/>
        <w:ind w:firstLine="320"/>
      </w:pPr>
    </w:p>
    <w:p w14:paraId="09F13D76">
      <w:pPr>
        <w:tabs>
          <w:tab w:val="left" w:pos="8280"/>
        </w:tabs>
        <w:spacing w:line="600" w:lineRule="exact"/>
        <w:ind w:right="26" w:firstLine="0" w:firstLineChars="0"/>
        <w:jc w:val="center"/>
        <w:outlineLvl w:val="0"/>
      </w:pPr>
      <w:r>
        <w:t>鄂环</w:t>
      </w:r>
      <w:r>
        <w:rPr>
          <w:rFonts w:hint="eastAsia"/>
        </w:rPr>
        <w:t>审</w:t>
      </w:r>
      <w:r>
        <w:t>字〔20</w:t>
      </w:r>
      <w:r>
        <w:rPr>
          <w:rFonts w:hint="eastAsia"/>
        </w:rPr>
        <w:t>24</w:t>
      </w:r>
      <w:r>
        <w:t>〕</w:t>
      </w:r>
      <w:r>
        <w:rPr>
          <w:rFonts w:hint="eastAsia"/>
          <w:lang w:val="en-US" w:eastAsia="zh-CN"/>
        </w:rPr>
        <w:t>196</w:t>
      </w:r>
      <w:r>
        <w:t>号</w:t>
      </w:r>
    </w:p>
    <w:p w14:paraId="23EF00E7">
      <w:pPr>
        <w:tabs>
          <w:tab w:val="left" w:pos="6780"/>
        </w:tabs>
        <w:spacing w:line="600" w:lineRule="exact"/>
        <w:ind w:firstLine="0" w:firstLineChars="0"/>
        <w:jc w:val="center"/>
        <w:rPr>
          <w:rFonts w:eastAsia="仿宋"/>
          <w:b/>
          <w:sz w:val="48"/>
          <w:szCs w:val="48"/>
        </w:rPr>
      </w:pPr>
    </w:p>
    <w:p w14:paraId="54B42823">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w w:val="95"/>
          <w:sz w:val="44"/>
          <w:szCs w:val="44"/>
          <w:highlight w:val="none"/>
        </w:rPr>
      </w:pPr>
      <w:r>
        <w:rPr>
          <w:rFonts w:hint="eastAsia" w:ascii="方正小标宋简体" w:hAnsi="方正小标宋简体" w:eastAsia="方正小标宋简体" w:cs="方正小标宋简体"/>
          <w:b w:val="0"/>
          <w:bCs/>
          <w:color w:val="auto"/>
          <w:w w:val="95"/>
          <w:sz w:val="44"/>
          <w:szCs w:val="44"/>
          <w:highlight w:val="none"/>
        </w:rPr>
        <w:t>鄂尔多斯市生态环境局</w:t>
      </w:r>
    </w:p>
    <w:p w14:paraId="3D56C8C0">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w w:val="95"/>
          <w:sz w:val="44"/>
          <w:szCs w:val="44"/>
          <w:highlight w:val="none"/>
        </w:rPr>
      </w:pPr>
      <w:r>
        <w:rPr>
          <w:rFonts w:hint="eastAsia" w:ascii="方正小标宋简体" w:hAnsi="方正小标宋简体" w:eastAsia="方正小标宋简体" w:cs="方正小标宋简体"/>
          <w:b w:val="0"/>
          <w:bCs/>
          <w:color w:val="auto"/>
          <w:w w:val="95"/>
          <w:sz w:val="44"/>
          <w:szCs w:val="44"/>
          <w:highlight w:val="none"/>
          <w:lang w:eastAsia="zh-CN"/>
        </w:rPr>
        <w:t>关于</w:t>
      </w:r>
      <w:r>
        <w:rPr>
          <w:rFonts w:hint="eastAsia" w:ascii="方正小标宋简体" w:hAnsi="方正小标宋简体" w:eastAsia="方正小标宋简体" w:cs="方正小标宋简体"/>
          <w:b w:val="0"/>
          <w:bCs/>
          <w:color w:val="auto"/>
          <w:w w:val="95"/>
          <w:sz w:val="44"/>
          <w:szCs w:val="44"/>
          <w:highlight w:val="none"/>
        </w:rPr>
        <w:t>上海庙能源化工园区西部铁路专用线项目环境影响报告书的批复</w:t>
      </w:r>
    </w:p>
    <w:p w14:paraId="03084E6F">
      <w:pPr>
        <w:adjustRightInd w:val="0"/>
        <w:snapToGrid w:val="0"/>
        <w:spacing w:line="600" w:lineRule="exact"/>
        <w:ind w:firstLine="640"/>
        <w:rPr>
          <w:rFonts w:hint="eastAsia" w:ascii="仿宋" w:hAnsi="仿宋" w:eastAsia="仿宋" w:cs="仿宋"/>
          <w:szCs w:val="32"/>
        </w:rPr>
      </w:pPr>
    </w:p>
    <w:p w14:paraId="330BFFE8">
      <w:pPr>
        <w:adjustRightInd w:val="0"/>
        <w:snapToGrid w:val="0"/>
        <w:spacing w:line="600" w:lineRule="exact"/>
        <w:ind w:firstLine="0" w:firstLineChars="0"/>
        <w:rPr>
          <w:rFonts w:hint="eastAsia" w:ascii="仿宋" w:hAnsi="仿宋" w:eastAsia="仿宋" w:cs="仿宋"/>
          <w:kern w:val="0"/>
          <w:szCs w:val="32"/>
          <w:highlight w:val="yellow"/>
        </w:rPr>
      </w:pPr>
      <w:r>
        <w:rPr>
          <w:rFonts w:hint="eastAsia" w:ascii="仿宋" w:hAnsi="仿宋" w:eastAsia="仿宋" w:cs="仿宋"/>
          <w:szCs w:val="32"/>
        </w:rPr>
        <w:t>内蒙古呼铁新源物流有限责任公司：</w:t>
      </w:r>
    </w:p>
    <w:p w14:paraId="49298248">
      <w:pPr>
        <w:adjustRightInd w:val="0"/>
        <w:snapToGrid w:val="0"/>
        <w:spacing w:line="600" w:lineRule="exact"/>
        <w:ind w:firstLine="640"/>
        <w:rPr>
          <w:rFonts w:hint="eastAsia" w:ascii="仿宋" w:hAnsi="仿宋" w:eastAsia="仿宋" w:cs="仿宋"/>
          <w:szCs w:val="32"/>
        </w:rPr>
      </w:pPr>
      <w:r>
        <w:rPr>
          <w:rFonts w:hint="eastAsia" w:ascii="仿宋" w:hAnsi="仿宋" w:eastAsia="仿宋" w:cs="仿宋"/>
          <w:szCs w:val="32"/>
        </w:rPr>
        <w:t>你公司报送的由内蒙古百霖环保科技有限公司编制</w:t>
      </w:r>
      <w:r>
        <w:rPr>
          <w:rFonts w:hint="eastAsia" w:ascii="仿宋" w:hAnsi="仿宋" w:eastAsia="仿宋" w:cs="仿宋"/>
          <w:szCs w:val="32"/>
          <w:lang w:eastAsia="zh-CN"/>
        </w:rPr>
        <w:t>的《</w:t>
      </w:r>
      <w:r>
        <w:rPr>
          <w:rFonts w:hint="eastAsia" w:ascii="仿宋" w:hAnsi="仿宋" w:eastAsia="仿宋" w:cs="仿宋"/>
          <w:szCs w:val="32"/>
        </w:rPr>
        <w:t>上海庙能源化工园区西部铁路专用线项目环境影响报告书》（以下简称《报告</w:t>
      </w:r>
      <w:r>
        <w:rPr>
          <w:rFonts w:hint="eastAsia" w:ascii="仿宋" w:hAnsi="仿宋" w:eastAsia="仿宋" w:cs="仿宋"/>
          <w:szCs w:val="32"/>
          <w:lang w:eastAsia="zh-CN"/>
        </w:rPr>
        <w:t>书</w:t>
      </w:r>
      <w:r>
        <w:rPr>
          <w:rFonts w:hint="eastAsia" w:ascii="仿宋" w:hAnsi="仿宋" w:eastAsia="仿宋" w:cs="仿宋"/>
          <w:szCs w:val="32"/>
        </w:rPr>
        <w:t>》）收悉。我局综合保障中心组织专家对该项目进行了技术评估，并形成了该项目的技术评估报告，根据《报告书》和《技术评估报告》，经研究，现批复如下：</w:t>
      </w:r>
    </w:p>
    <w:p w14:paraId="018FBF0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rPr>
      </w:pPr>
      <w:r>
        <w:rPr>
          <w:rFonts w:hint="eastAsia" w:ascii="仿宋" w:hAnsi="仿宋" w:eastAsia="仿宋" w:cs="仿宋"/>
          <w:lang w:eastAsia="zh-CN"/>
        </w:rPr>
        <w:t>一、上</w:t>
      </w:r>
      <w:r>
        <w:rPr>
          <w:rFonts w:hint="eastAsia" w:ascii="仿宋" w:hAnsi="仿宋" w:eastAsia="仿宋" w:cs="仿宋"/>
        </w:rPr>
        <w:t>海庙能源化工园区西部铁路专用线项目(以下称本项目) 位于鄂尔多斯市鄂托克前旗上海庙经济开发区</w:t>
      </w:r>
      <w:r>
        <w:rPr>
          <w:rFonts w:hint="eastAsia" w:ascii="仿宋" w:hAnsi="仿宋" w:eastAsia="仿宋" w:cs="仿宋"/>
          <w:lang w:eastAsia="zh-CN"/>
        </w:rPr>
        <w:t>。</w:t>
      </w:r>
      <w:bookmarkStart w:id="0" w:name="_GoBack"/>
      <w:r>
        <w:rPr>
          <w:rFonts w:hint="eastAsia" w:ascii="仿宋" w:hAnsi="仿宋" w:eastAsia="仿宋" w:cs="仿宋"/>
        </w:rPr>
        <w:t>本项目总占地面积98.407</w:t>
      </w:r>
      <w:r>
        <w:rPr>
          <w:rFonts w:hint="eastAsia" w:ascii="仿宋" w:hAnsi="仿宋" w:eastAsia="仿宋" w:cs="仿宋"/>
          <w:lang w:eastAsia="zh-CN"/>
        </w:rPr>
        <w:t>平方公顷，铁路专用线运输产品主要为煤炭和焦炭</w:t>
      </w:r>
      <w:r>
        <w:rPr>
          <w:rFonts w:hint="eastAsia" w:ascii="仿宋" w:hAnsi="仿宋" w:eastAsia="仿宋" w:cs="仿宋"/>
        </w:rPr>
        <w:t>。</w:t>
      </w:r>
      <w:r>
        <w:rPr>
          <w:rFonts w:hint="eastAsia" w:ascii="仿宋" w:hAnsi="仿宋" w:eastAsia="仿宋" w:cs="仿宋"/>
          <w:lang w:eastAsia="zh-CN"/>
        </w:rPr>
        <w:t>本次先行建设</w:t>
      </w:r>
      <w:r>
        <w:rPr>
          <w:rFonts w:hint="eastAsia" w:ascii="仿宋" w:hAnsi="仿宋" w:eastAsia="仿宋" w:cs="仿宋"/>
        </w:rPr>
        <w:t>接轨三新铁路上海庙站</w:t>
      </w:r>
      <w:r>
        <w:rPr>
          <w:rFonts w:hint="eastAsia" w:ascii="仿宋" w:hAnsi="仿宋" w:eastAsia="仿宋" w:cs="仿宋"/>
          <w:lang w:eastAsia="zh-CN"/>
        </w:rPr>
        <w:t>，</w:t>
      </w:r>
      <w:r>
        <w:rPr>
          <w:rFonts w:hint="eastAsia" w:ascii="仿宋" w:hAnsi="仿宋" w:eastAsia="仿宋" w:cs="仿宋"/>
        </w:rPr>
        <w:t>同步接轨鄂上铁路上海庙西站</w:t>
      </w:r>
      <w:r>
        <w:rPr>
          <w:rFonts w:hint="eastAsia" w:ascii="仿宋" w:hAnsi="仿宋" w:eastAsia="仿宋" w:cs="仿宋"/>
          <w:lang w:eastAsia="zh-CN"/>
        </w:rPr>
        <w:t>，</w:t>
      </w:r>
      <w:r>
        <w:rPr>
          <w:rFonts w:hint="eastAsia" w:ascii="仿宋" w:hAnsi="仿宋" w:eastAsia="仿宋" w:cs="仿宋"/>
        </w:rPr>
        <w:t>新建精细化工园站</w:t>
      </w:r>
      <w:r>
        <w:rPr>
          <w:rFonts w:hint="eastAsia" w:ascii="仿宋" w:hAnsi="仿宋" w:eastAsia="仿宋" w:cs="仿宋"/>
          <w:lang w:eastAsia="zh-CN"/>
        </w:rPr>
        <w:t>，</w:t>
      </w:r>
      <w:r>
        <w:rPr>
          <w:rFonts w:hint="eastAsia" w:ascii="仿宋" w:hAnsi="仿宋" w:eastAsia="仿宋" w:cs="仿宋"/>
        </w:rPr>
        <w:t>预留长城一号站(中间站</w:t>
      </w:r>
      <w:r>
        <w:rPr>
          <w:rFonts w:hint="eastAsia" w:ascii="仿宋" w:hAnsi="仿宋" w:eastAsia="仿宋" w:cs="仿宋"/>
          <w:lang w:eastAsia="zh-CN"/>
        </w:rPr>
        <w:t>，</w:t>
      </w:r>
      <w:r>
        <w:rPr>
          <w:rFonts w:hint="eastAsia" w:ascii="仿宋" w:hAnsi="仿宋" w:eastAsia="仿宋" w:cs="仿宋"/>
        </w:rPr>
        <w:t>本次不建设)</w:t>
      </w:r>
      <w:r>
        <w:rPr>
          <w:rFonts w:hint="eastAsia" w:ascii="仿宋" w:hAnsi="仿宋" w:eastAsia="仿宋" w:cs="仿宋"/>
          <w:lang w:eastAsia="zh-CN"/>
        </w:rPr>
        <w:t>，</w:t>
      </w:r>
      <w:r>
        <w:rPr>
          <w:rFonts w:hint="eastAsia" w:ascii="仿宋" w:hAnsi="仿宋" w:eastAsia="仿宋" w:cs="仿宋"/>
        </w:rPr>
        <w:t>正线长</w:t>
      </w:r>
      <w:r>
        <w:rPr>
          <w:rFonts w:hint="eastAsia" w:ascii="仿宋" w:hAnsi="仿宋" w:eastAsia="仿宋" w:cs="仿宋"/>
          <w:lang w:eastAsia="zh-CN"/>
        </w:rPr>
        <w:t>20.698千米。</w:t>
      </w:r>
      <w:r>
        <w:rPr>
          <w:rFonts w:hint="eastAsia" w:ascii="仿宋" w:hAnsi="仿宋" w:eastAsia="仿宋" w:cs="仿宋"/>
        </w:rPr>
        <w:t>上海庙站至精细化工园站拆分</w:t>
      </w:r>
      <w:r>
        <w:rPr>
          <w:rFonts w:hint="eastAsia" w:ascii="仿宋" w:hAnsi="仿宋" w:eastAsia="仿宋" w:cs="仿宋"/>
          <w:lang w:eastAsia="zh-CN"/>
        </w:rPr>
        <w:t>为</w:t>
      </w:r>
      <w:r>
        <w:rPr>
          <w:rFonts w:hint="eastAsia" w:ascii="仿宋" w:hAnsi="仿宋" w:eastAsia="仿宋" w:cs="仿宋"/>
        </w:rPr>
        <w:t>西部铁路专用线(DK)和三新联络线(LDK)</w:t>
      </w:r>
      <w:r>
        <w:rPr>
          <w:rFonts w:hint="eastAsia" w:ascii="仿宋" w:hAnsi="仿宋" w:eastAsia="仿宋" w:cs="仿宋"/>
          <w:lang w:eastAsia="zh-CN"/>
        </w:rPr>
        <w:t>两部分：西部铁路专用线(DK)起止点为上海庙西站至精细化工园站，正线长</w:t>
      </w:r>
      <w:r>
        <w:rPr>
          <w:rFonts w:hint="eastAsia" w:ascii="仿宋" w:hAnsi="仿宋" w:eastAsia="仿宋" w:cs="仿宋"/>
          <w:lang w:val="en-US" w:eastAsia="zh-CN"/>
        </w:rPr>
        <w:t>17.684</w:t>
      </w:r>
      <w:r>
        <w:rPr>
          <w:rFonts w:hint="eastAsia" w:ascii="仿宋" w:hAnsi="仿宋" w:eastAsia="仿宋" w:cs="仿宋"/>
          <w:lang w:eastAsia="zh-CN"/>
        </w:rPr>
        <w:t>千米；三新联络线(LDK)起止点为上海庙站至道岔，正线长3.014千米。</w:t>
      </w:r>
      <w:r>
        <w:rPr>
          <w:rFonts w:hint="eastAsia" w:ascii="仿宋" w:hAnsi="仿宋" w:eastAsia="仿宋" w:cs="仿宋"/>
        </w:rPr>
        <w:t>本次工程正线里程</w:t>
      </w:r>
      <w:r>
        <w:rPr>
          <w:rFonts w:hint="eastAsia" w:ascii="仿宋" w:hAnsi="仿宋" w:eastAsia="仿宋" w:cs="仿宋"/>
          <w:lang w:eastAsia="zh-CN"/>
        </w:rPr>
        <w:t>由</w:t>
      </w:r>
      <w:r>
        <w:rPr>
          <w:rFonts w:hint="eastAsia" w:ascii="仿宋" w:hAnsi="仿宋" w:eastAsia="仿宋" w:cs="仿宋"/>
        </w:rPr>
        <w:t>25.817</w:t>
      </w:r>
      <w:r>
        <w:rPr>
          <w:rFonts w:hint="eastAsia" w:ascii="仿宋" w:hAnsi="仿宋" w:eastAsia="仿宋" w:cs="仿宋"/>
          <w:lang w:eastAsia="zh-CN"/>
        </w:rPr>
        <w:t>千米</w:t>
      </w:r>
      <w:r>
        <w:rPr>
          <w:rFonts w:hint="eastAsia" w:ascii="仿宋" w:hAnsi="仿宋" w:eastAsia="仿宋" w:cs="仿宋"/>
        </w:rPr>
        <w:t>调整为20.698</w:t>
      </w:r>
      <w:r>
        <w:rPr>
          <w:rFonts w:hint="eastAsia" w:ascii="仿宋" w:hAnsi="仿宋" w:eastAsia="仿宋" w:cs="仿宋"/>
          <w:lang w:eastAsia="zh-CN"/>
        </w:rPr>
        <w:t>千米</w:t>
      </w:r>
      <w:r>
        <w:rPr>
          <w:rFonts w:hint="eastAsia" w:ascii="仿宋" w:hAnsi="仿宋" w:eastAsia="仿宋" w:cs="仿宋"/>
        </w:rPr>
        <w:t>,建设精细化工园站(不含装车站及集运站)</w:t>
      </w:r>
      <w:r>
        <w:rPr>
          <w:rFonts w:hint="eastAsia" w:ascii="仿宋" w:hAnsi="仿宋" w:eastAsia="仿宋" w:cs="仿宋"/>
          <w:lang w:eastAsia="zh-CN"/>
        </w:rPr>
        <w:t>；</w:t>
      </w:r>
      <w:r>
        <w:rPr>
          <w:rFonts w:hint="eastAsia" w:ascii="仿宋" w:hAnsi="仿宋" w:eastAsia="仿宋" w:cs="仿宋"/>
        </w:rPr>
        <w:t>牵引方式由电气化改为内燃，预留电气化条件</w:t>
      </w:r>
      <w:r>
        <w:rPr>
          <w:rFonts w:hint="eastAsia" w:ascii="仿宋" w:hAnsi="仿宋" w:eastAsia="仿宋" w:cs="仿宋"/>
          <w:lang w:eastAsia="zh-CN"/>
        </w:rPr>
        <w:t>；</w:t>
      </w:r>
      <w:r>
        <w:rPr>
          <w:rFonts w:hint="eastAsia" w:ascii="仿宋" w:hAnsi="仿宋" w:eastAsia="仿宋" w:cs="仿宋"/>
        </w:rPr>
        <w:t>路基基床表层采用B组填料，底层采用煤矸石+粉细砂混合料，中间增设中粗砂夹两布一膜土工布;路基本体填筑煤矸石+粉细砂混合料，路基以下换填煤矸石+粉细砂混合料，路堤两侧边坡采用黏性土包边。</w:t>
      </w:r>
      <w:bookmarkEnd w:id="0"/>
    </w:p>
    <w:p w14:paraId="1DB620C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rPr>
      </w:pPr>
      <w:r>
        <w:rPr>
          <w:rFonts w:hint="eastAsia" w:ascii="仿宋" w:hAnsi="仿宋" w:eastAsia="仿宋" w:cs="仿宋"/>
        </w:rPr>
        <w:t>《报告书》和《技术评估报告》认为，在全面落实各项生态环境保护和环境污染防治措施的前提下，项目建设对环境的不利影响能够得到一定的缓解和控制。因此，我局原则同意你公司按照《报告书》中所列的建设项目性质、规模、地点、工艺、生态环境保护措施及下述要求进行建设。</w:t>
      </w:r>
    </w:p>
    <w:p w14:paraId="74F32874">
      <w:pPr>
        <w:adjustRightInd w:val="0"/>
        <w:spacing w:line="520" w:lineRule="exact"/>
        <w:ind w:firstLine="640"/>
        <w:textAlignment w:val="baseline"/>
        <w:rPr>
          <w:rFonts w:hint="eastAsia" w:ascii="仿宋" w:hAnsi="仿宋" w:eastAsia="仿宋" w:cs="仿宋"/>
          <w:szCs w:val="32"/>
        </w:rPr>
      </w:pPr>
      <w:r>
        <w:rPr>
          <w:rFonts w:hint="eastAsia" w:ascii="仿宋" w:hAnsi="仿宋" w:eastAsia="仿宋" w:cs="仿宋"/>
          <w:szCs w:val="32"/>
        </w:rPr>
        <w:t>二、项目建设与运行管理中应重点做好的工作：</w:t>
      </w:r>
    </w:p>
    <w:p w14:paraId="3E1D11A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outlineLvl w:val="9"/>
        <w:rPr>
          <w:rFonts w:hint="eastAsia" w:ascii="仿宋" w:hAnsi="仿宋" w:eastAsia="仿宋" w:cs="仿宋"/>
        </w:rPr>
      </w:pPr>
      <w:r>
        <w:rPr>
          <w:rFonts w:hint="eastAsia" w:ascii="仿宋" w:hAnsi="仿宋" w:eastAsia="仿宋" w:cs="仿宋"/>
          <w:szCs w:val="32"/>
        </w:rPr>
        <w:t>1.生态环境保护及恢复措施。严格按照相关法律法规和主管部门要求，</w:t>
      </w:r>
      <w:r>
        <w:rPr>
          <w:rFonts w:ascii="仿宋" w:hAnsi="仿宋" w:eastAsia="仿宋" w:cs="仿宋"/>
          <w:szCs w:val="32"/>
        </w:rPr>
        <w:t>做好</w:t>
      </w:r>
      <w:r>
        <w:rPr>
          <w:rFonts w:hint="eastAsia" w:ascii="仿宋" w:hAnsi="仿宋" w:eastAsia="仿宋" w:cs="仿宋"/>
          <w:szCs w:val="32"/>
        </w:rPr>
        <w:t>文物保护</w:t>
      </w:r>
      <w:r>
        <w:rPr>
          <w:rFonts w:hint="eastAsia" w:ascii="仿宋" w:hAnsi="仿宋" w:eastAsia="仿宋" w:cs="仿宋"/>
          <w:szCs w:val="32"/>
          <w:lang w:eastAsia="zh-CN"/>
        </w:rPr>
        <w:t>、</w:t>
      </w:r>
      <w:r>
        <w:rPr>
          <w:rFonts w:ascii="仿宋" w:hAnsi="仿宋" w:eastAsia="仿宋" w:cs="仿宋"/>
          <w:szCs w:val="32"/>
        </w:rPr>
        <w:t>林地、耕地、</w:t>
      </w:r>
      <w:r>
        <w:rPr>
          <w:rFonts w:hint="eastAsia" w:ascii="仿宋" w:hAnsi="仿宋" w:eastAsia="仿宋" w:cs="仿宋"/>
          <w:szCs w:val="32"/>
          <w:lang w:eastAsia="zh-CN"/>
        </w:rPr>
        <w:t>牧</w:t>
      </w:r>
      <w:r>
        <w:rPr>
          <w:rFonts w:ascii="仿宋" w:hAnsi="仿宋" w:eastAsia="仿宋" w:cs="仿宋"/>
          <w:szCs w:val="32"/>
        </w:rPr>
        <w:t>草地、</w:t>
      </w:r>
      <w:r>
        <w:rPr>
          <w:rFonts w:hint="eastAsia" w:ascii="仿宋" w:hAnsi="仿宋" w:eastAsia="仿宋" w:cs="仿宋"/>
          <w:szCs w:val="32"/>
          <w:lang w:eastAsia="zh-CN"/>
        </w:rPr>
        <w:t>生态保护红线、基本农田、基本草原、公益林</w:t>
      </w:r>
      <w:r>
        <w:rPr>
          <w:rFonts w:ascii="仿宋" w:hAnsi="仿宋" w:eastAsia="仿宋" w:cs="仿宋"/>
          <w:szCs w:val="32"/>
        </w:rPr>
        <w:t>等保护、恢复和补偿工作</w:t>
      </w:r>
      <w:r>
        <w:rPr>
          <w:rFonts w:hint="eastAsia" w:ascii="仿宋" w:hAnsi="仿宋" w:eastAsia="仿宋" w:cs="仿宋"/>
          <w:szCs w:val="32"/>
        </w:rPr>
        <w:t>，确保符</w:t>
      </w:r>
      <w:r>
        <w:rPr>
          <w:rFonts w:hint="eastAsia" w:ascii="仿宋" w:hAnsi="仿宋" w:eastAsia="仿宋" w:cs="仿宋"/>
        </w:rPr>
        <w:t>合其管控要求且生态功能不降低</w:t>
      </w:r>
      <w:r>
        <w:rPr>
          <w:rFonts w:hint="eastAsia" w:ascii="仿宋" w:hAnsi="仿宋" w:eastAsia="仿宋" w:cs="仿宋"/>
          <w:lang w:eastAsia="zh-CN"/>
        </w:rPr>
        <w:t>。施工期结束后，对各施工破坏区和临时占地采取及时清理、回填土、整治等措施，做到边使用、边平整、边恢复植被。植被恢复应根据沿线不同区域的立地条件、生态功能选适合于当地生长的林木、灌木、草本植被等</w:t>
      </w:r>
      <w:r>
        <w:rPr>
          <w:rFonts w:hint="eastAsia" w:ascii="仿宋" w:hAnsi="仿宋" w:eastAsia="仿宋" w:cs="仿宋"/>
        </w:rPr>
        <w:t>并定期采取补种等措施,使植被覆盖度不低于项目周边。</w:t>
      </w:r>
    </w:p>
    <w:p w14:paraId="53101CD0">
      <w:pPr>
        <w:pStyle w:val="2"/>
        <w:numPr>
          <w:ilvl w:val="0"/>
          <w:numId w:val="0"/>
        </w:numPr>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严格落实《报告书》提出的大气污染防治措施。施工期合理规划运输路线，运输车辆和临时堆存土方加盖苫布、定期洒水抑尘，作业场地保持一定湿度，加强对施工设备、车辆的检修和维护，对临时堆土场采用柔性防尘网进行苫盖；运营期加强机车性能的维护和提高燃油效率来减少污染物排放量。</w:t>
      </w:r>
    </w:p>
    <w:p w14:paraId="3608D7D8">
      <w:pPr>
        <w:pStyle w:val="2"/>
        <w:spacing w:line="520" w:lineRule="exact"/>
        <w:ind w:firstLine="640"/>
        <w:rPr>
          <w:rFonts w:hint="eastAsia" w:ascii="仿宋" w:hAnsi="仿宋" w:eastAsia="仿宋" w:cs="仿宋"/>
          <w:kern w:val="2"/>
          <w:sz w:val="32"/>
          <w:szCs w:val="32"/>
          <w:lang w:val="en-US" w:eastAsia="zh-CN" w:bidi="ar-SA"/>
        </w:rPr>
      </w:pP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kern w:val="2"/>
          <w:sz w:val="32"/>
          <w:szCs w:val="32"/>
          <w:lang w:val="en-US" w:eastAsia="zh-CN" w:bidi="ar-SA"/>
        </w:rPr>
        <w:t>严格落实《报告书》提出的水污染防治措施。施工期须加强施工机械设备的维修保养，避免在施工过程中燃料油的跑、冒、滴、漏；施工场地设置临时隔油池、沉淀池对污水进行简易处理后用于冲洗车辆和喷洒路面；施工人员生活污水排入环保厕所，拉至污水处理厂处理。运营期精细化工园站生活污水经化粪池、隔油池处理后排入站内一体化污水处理装置，处理后水质须满足《城市污水再生利用城市杂用水水质》(GB/T 18920-2020)城市绿化标准，用于车站绿化，不外排，冬季经初步处理后排至恒坤化工污水处理系统。</w:t>
      </w:r>
    </w:p>
    <w:p w14:paraId="49CA4152">
      <w:pPr>
        <w:pStyle w:val="2"/>
        <w:spacing w:line="520" w:lineRule="exact"/>
        <w:ind w:firstLine="640"/>
        <w:rPr>
          <w:rFonts w:hint="eastAsia" w:ascii="仿宋" w:hAnsi="仿宋" w:eastAsia="仿宋" w:cs="仿宋"/>
          <w:kern w:val="2"/>
          <w:sz w:val="32"/>
          <w:szCs w:val="32"/>
          <w:lang w:val="en-US" w:eastAsia="zh-CN" w:bidi="ar-SA"/>
        </w:rPr>
      </w:pPr>
      <w:r>
        <w:rPr>
          <w:rFonts w:hint="eastAsia" w:ascii="仿宋" w:hAnsi="仿宋" w:eastAsia="仿宋" w:cs="仿宋"/>
          <w:szCs w:val="32"/>
          <w:lang w:val="en-US" w:eastAsia="zh-CN"/>
        </w:rPr>
        <w:t>4</w:t>
      </w:r>
      <w:r>
        <w:rPr>
          <w:rFonts w:hint="eastAsia" w:ascii="仿宋" w:hAnsi="仿宋" w:eastAsia="仿宋" w:cs="仿宋"/>
          <w:szCs w:val="32"/>
        </w:rPr>
        <w:t>.</w:t>
      </w:r>
      <w:r>
        <w:rPr>
          <w:rFonts w:hint="eastAsia" w:ascii="仿宋" w:hAnsi="仿宋" w:eastAsia="仿宋" w:cs="仿宋"/>
          <w:kern w:val="2"/>
          <w:sz w:val="32"/>
          <w:szCs w:val="32"/>
          <w:lang w:val="en-US" w:eastAsia="zh-CN" w:bidi="ar-SA"/>
        </w:rPr>
        <w:t>严格落实《报告书》提出的噪声污染防治措施。施工期选用低噪声施工机械设备，合理布置施工现场，合理安排施工时间。运营期选择低噪声设备、基础减振、吸声降噪、定期检修、镟轮等措施，精细化工园站站场厂界噪声须满足《工业企业厂界环境噪声排放标准》(GB 12348-2008)中2类标准要求，拟建铁路专用线边界(距外轨轨道中心线30米处)须满足《铁路边界噪声限值及其测量方法》(GB 12525-90)中修改方案要求，拟建精细化工园站、鄂托克前旗长城六号矿业有限公司及明长城振动环境须满足《城市区域环境振动标准》(GB 10070-88)标准限值要求。</w:t>
      </w:r>
    </w:p>
    <w:p w14:paraId="49376849">
      <w:pPr>
        <w:tabs>
          <w:tab w:val="left" w:pos="1140"/>
        </w:tabs>
        <w:adjustRightInd w:val="0"/>
        <w:spacing w:line="520" w:lineRule="exact"/>
        <w:ind w:firstLine="640"/>
        <w:textAlignment w:val="baseline"/>
        <w:rPr>
          <w:rFonts w:hint="eastAsia" w:ascii="仿宋" w:hAnsi="仿宋" w:eastAsia="仿宋" w:cs="仿宋"/>
          <w:kern w:val="2"/>
          <w:sz w:val="32"/>
          <w:szCs w:val="32"/>
          <w:lang w:val="en-US" w:eastAsia="zh-CN" w:bidi="ar-SA"/>
        </w:rPr>
      </w:pPr>
      <w:r>
        <w:rPr>
          <w:rFonts w:hint="eastAsia" w:ascii="仿宋" w:hAnsi="仿宋" w:eastAsia="仿宋" w:cs="仿宋"/>
          <w:szCs w:val="32"/>
          <w:lang w:val="en-US" w:eastAsia="zh-CN"/>
        </w:rPr>
        <w:t>5</w:t>
      </w:r>
      <w:r>
        <w:rPr>
          <w:rFonts w:hint="eastAsia" w:ascii="仿宋" w:hAnsi="仿宋" w:eastAsia="仿宋" w:cs="仿宋"/>
          <w:szCs w:val="32"/>
        </w:rPr>
        <w:t>.</w:t>
      </w:r>
      <w:r>
        <w:rPr>
          <w:rFonts w:hint="eastAsia" w:ascii="仿宋" w:hAnsi="仿宋" w:eastAsia="仿宋" w:cs="仿宋"/>
          <w:kern w:val="2"/>
          <w:sz w:val="32"/>
          <w:szCs w:val="32"/>
          <w:lang w:val="en-US" w:eastAsia="zh-CN" w:bidi="ar-SA"/>
        </w:rPr>
        <w:t>严格落实《报告书》提出的固废污染防治措施。根据国家和地方的有关规定，按照“减量化、资源化、无害化”原则，对固体废物进行分类收集、处理和处置，确保不造成二次污染。各类固废严格按照《危险废物贮存污染控制标准》（GB 18597-2023）、《一般工业固体废物贮存和填埋污染控制标准》（GB 18599-2020）的要求，分类做好存贮和安全处置工作。一般固体废物应立足于综合利用，危险废物委托有资质单位处置。</w:t>
      </w:r>
    </w:p>
    <w:p w14:paraId="24D1FC58">
      <w:pPr>
        <w:tabs>
          <w:tab w:val="left" w:pos="1140"/>
        </w:tabs>
        <w:adjustRightInd w:val="0"/>
        <w:spacing w:line="520" w:lineRule="exact"/>
        <w:ind w:firstLine="640"/>
        <w:textAlignment w:val="baseline"/>
        <w:rPr>
          <w:rFonts w:hint="eastAsia" w:ascii="仿宋" w:hAnsi="仿宋" w:eastAsia="仿宋" w:cs="仿宋"/>
          <w:szCs w:val="32"/>
        </w:rPr>
      </w:pPr>
      <w:r>
        <w:rPr>
          <w:rFonts w:hint="eastAsia" w:ascii="仿宋" w:hAnsi="仿宋" w:eastAsia="仿宋" w:cs="仿宋"/>
          <w:szCs w:val="32"/>
        </w:rPr>
        <w:t>施工期产生的多余土方用</w:t>
      </w:r>
      <w:r>
        <w:rPr>
          <w:rFonts w:hint="eastAsia" w:ascii="仿宋" w:hAnsi="仿宋" w:eastAsia="仿宋" w:cs="仿宋"/>
          <w:szCs w:val="32"/>
          <w:lang w:eastAsia="zh-CN"/>
        </w:rPr>
        <w:t>于</w:t>
      </w:r>
      <w:r>
        <w:rPr>
          <w:rFonts w:hint="eastAsia" w:ascii="仿宋" w:hAnsi="仿宋" w:eastAsia="仿宋" w:cs="仿宋"/>
          <w:szCs w:val="32"/>
        </w:rPr>
        <w:t>临时工程回填覆土，不产生弃方，不设置弃土场、弃渣场</w:t>
      </w:r>
      <w:r>
        <w:rPr>
          <w:rFonts w:hint="eastAsia" w:ascii="仿宋" w:hAnsi="仿宋" w:eastAsia="仿宋" w:cs="仿宋"/>
          <w:szCs w:val="32"/>
          <w:lang w:eastAsia="zh-CN"/>
        </w:rPr>
        <w:t>，</w:t>
      </w:r>
      <w:r>
        <w:rPr>
          <w:rFonts w:hint="eastAsia" w:ascii="仿宋" w:hAnsi="仿宋" w:eastAsia="仿宋" w:cs="仿宋"/>
          <w:szCs w:val="32"/>
        </w:rPr>
        <w:t>临时沉淀池底泥与建筑垃圾废料拉运至建筑垃圾填埋场处理</w:t>
      </w:r>
      <w:r>
        <w:rPr>
          <w:rFonts w:hint="eastAsia" w:ascii="仿宋" w:hAnsi="仿宋" w:eastAsia="仿宋" w:cs="仿宋"/>
          <w:szCs w:val="32"/>
          <w:lang w:eastAsia="zh-CN"/>
        </w:rPr>
        <w:t>，</w:t>
      </w:r>
      <w:r>
        <w:rPr>
          <w:rFonts w:hint="eastAsia" w:ascii="仿宋" w:hAnsi="仿宋" w:eastAsia="仿宋" w:cs="仿宋"/>
          <w:szCs w:val="32"/>
        </w:rPr>
        <w:t>施工人员生活垃圾收集后送环卫部门统一处理。运营期生活垃圾由当地环卫部门清运进行统一处置</w:t>
      </w:r>
      <w:r>
        <w:rPr>
          <w:rFonts w:hint="eastAsia" w:ascii="仿宋" w:hAnsi="仿宋" w:eastAsia="仿宋" w:cs="仿宋"/>
          <w:szCs w:val="32"/>
          <w:lang w:eastAsia="zh-CN"/>
        </w:rPr>
        <w:t>，</w:t>
      </w:r>
      <w:r>
        <w:rPr>
          <w:rFonts w:hint="eastAsia" w:ascii="仿宋" w:hAnsi="仿宋" w:eastAsia="仿宋" w:cs="仿宋"/>
          <w:szCs w:val="32"/>
        </w:rPr>
        <w:t>废油脂及餐厨垃圾</w:t>
      </w:r>
      <w:r>
        <w:rPr>
          <w:rFonts w:hint="eastAsia" w:ascii="仿宋" w:hAnsi="仿宋" w:eastAsia="仿宋" w:cs="仿宋"/>
          <w:szCs w:val="32"/>
          <w:lang w:eastAsia="zh-CN"/>
        </w:rPr>
        <w:t>经</w:t>
      </w:r>
      <w:r>
        <w:rPr>
          <w:rFonts w:hint="eastAsia" w:ascii="仿宋" w:hAnsi="仿宋" w:eastAsia="仿宋" w:cs="仿宋"/>
          <w:szCs w:val="32"/>
        </w:rPr>
        <w:t>隔油池收集后由相关单位合法处置</w:t>
      </w:r>
      <w:r>
        <w:rPr>
          <w:rFonts w:hint="eastAsia" w:ascii="仿宋" w:hAnsi="仿宋" w:eastAsia="仿宋" w:cs="仿宋"/>
          <w:szCs w:val="32"/>
          <w:lang w:eastAsia="zh-CN"/>
        </w:rPr>
        <w:t>，</w:t>
      </w:r>
      <w:r>
        <w:rPr>
          <w:rFonts w:hint="eastAsia" w:ascii="仿宋" w:hAnsi="仿宋" w:eastAsia="仿宋" w:cs="仿宋"/>
          <w:szCs w:val="32"/>
        </w:rPr>
        <w:t>废机油桶</w:t>
      </w:r>
      <w:r>
        <w:rPr>
          <w:rFonts w:hint="eastAsia" w:ascii="仿宋" w:hAnsi="仿宋" w:eastAsia="仿宋" w:cs="仿宋"/>
          <w:szCs w:val="32"/>
          <w:lang w:eastAsia="zh-CN"/>
        </w:rPr>
        <w:t>、</w:t>
      </w:r>
      <w:r>
        <w:rPr>
          <w:rFonts w:hint="eastAsia" w:ascii="仿宋" w:hAnsi="仿宋" w:eastAsia="仿宋" w:cs="仿宋"/>
          <w:szCs w:val="32"/>
        </w:rPr>
        <w:t>废铅酸蓄电池</w:t>
      </w:r>
      <w:r>
        <w:rPr>
          <w:rFonts w:hint="eastAsia" w:ascii="仿宋" w:hAnsi="仿宋" w:eastAsia="仿宋" w:cs="仿宋"/>
          <w:szCs w:val="32"/>
          <w:lang w:eastAsia="zh-CN"/>
        </w:rPr>
        <w:t>等危险废物</w:t>
      </w:r>
      <w:r>
        <w:rPr>
          <w:rFonts w:hint="eastAsia" w:ascii="仿宋" w:hAnsi="仿宋" w:eastAsia="仿宋" w:cs="仿宋"/>
          <w:szCs w:val="32"/>
        </w:rPr>
        <w:t>收集后暂存于危险废物暂存间期交由有资质的单位处置。</w:t>
      </w:r>
    </w:p>
    <w:p w14:paraId="5B57DB61">
      <w:pPr>
        <w:adjustRightInd w:val="0"/>
        <w:spacing w:line="520" w:lineRule="exact"/>
        <w:ind w:firstLine="640"/>
        <w:textAlignment w:val="baseline"/>
        <w:rPr>
          <w:rFonts w:hint="eastAsia" w:ascii="仿宋" w:hAnsi="仿宋" w:eastAsia="仿宋" w:cs="仿宋"/>
          <w:szCs w:val="20"/>
        </w:rPr>
      </w:pPr>
      <w:r>
        <w:rPr>
          <w:rFonts w:hint="eastAsia" w:ascii="仿宋" w:hAnsi="仿宋" w:eastAsia="仿宋" w:cs="仿宋"/>
          <w:szCs w:val="20"/>
          <w:lang w:val="en-US" w:eastAsia="zh-CN"/>
        </w:rPr>
        <w:t>6</w:t>
      </w:r>
      <w:r>
        <w:rPr>
          <w:rFonts w:hint="eastAsia" w:ascii="仿宋" w:hAnsi="仿宋" w:eastAsia="仿宋" w:cs="仿宋"/>
          <w:szCs w:val="20"/>
        </w:rPr>
        <w:t>.切实落实地下水环境及土壤环境保护措施。严格按照《环境影响评价技术导则 地下水环境》（HJ 610-2016）、《环境影响评价技术导则 土壤环境（试行）》（HJ 964</w:t>
      </w:r>
      <w:r>
        <w:rPr>
          <w:rFonts w:hint="eastAsia" w:ascii="仿宋" w:hAnsi="仿宋" w:eastAsia="仿宋" w:cs="仿宋"/>
          <w:szCs w:val="20"/>
          <w:lang w:val="en-US" w:eastAsia="zh-CN"/>
        </w:rPr>
        <w:t>-</w:t>
      </w:r>
      <w:r>
        <w:rPr>
          <w:rFonts w:hint="eastAsia" w:ascii="仿宋" w:hAnsi="仿宋" w:eastAsia="仿宋" w:cs="仿宋"/>
          <w:szCs w:val="20"/>
        </w:rPr>
        <w:t>2018）及《排污单位自行监测技术</w:t>
      </w:r>
      <w:r>
        <w:rPr>
          <w:rFonts w:hint="eastAsia" w:ascii="仿宋" w:hAnsi="仿宋" w:eastAsia="仿宋" w:cs="仿宋"/>
          <w:szCs w:val="20"/>
          <w:lang w:val="en-US" w:eastAsia="zh-CN"/>
        </w:rPr>
        <w:t xml:space="preserve"> </w:t>
      </w:r>
      <w:r>
        <w:rPr>
          <w:rFonts w:hint="eastAsia" w:ascii="仿宋" w:hAnsi="仿宋" w:eastAsia="仿宋" w:cs="仿宋"/>
          <w:szCs w:val="20"/>
        </w:rPr>
        <w:t>指南总则》(HJ</w:t>
      </w:r>
      <w:r>
        <w:rPr>
          <w:rFonts w:hint="eastAsia" w:ascii="仿宋" w:hAnsi="仿宋" w:eastAsia="仿宋" w:cs="仿宋"/>
          <w:szCs w:val="20"/>
          <w:lang w:val="en-US" w:eastAsia="zh-CN"/>
        </w:rPr>
        <w:t xml:space="preserve"> </w:t>
      </w:r>
      <w:r>
        <w:rPr>
          <w:rFonts w:hint="eastAsia" w:ascii="仿宋" w:hAnsi="仿宋" w:eastAsia="仿宋" w:cs="仿宋"/>
          <w:szCs w:val="20"/>
        </w:rPr>
        <w:t>819-2017)等要求，采取分区防渗措施，建立完善的土壤地下水监测制度并按照要求监测。</w:t>
      </w:r>
    </w:p>
    <w:p w14:paraId="3061BC62">
      <w:pPr>
        <w:adjustRightInd w:val="0"/>
        <w:snapToGrid w:val="0"/>
        <w:spacing w:line="520" w:lineRule="exact"/>
        <w:ind w:firstLine="640"/>
        <w:rPr>
          <w:rFonts w:hint="eastAsia" w:ascii="仿宋" w:hAnsi="仿宋" w:eastAsia="仿宋" w:cs="仿宋"/>
        </w:rPr>
      </w:pPr>
      <w:r>
        <w:rPr>
          <w:rFonts w:hint="eastAsia" w:ascii="仿宋" w:hAnsi="仿宋" w:eastAsia="仿宋" w:cs="仿宋"/>
          <w:szCs w:val="32"/>
          <w:lang w:val="en-US" w:eastAsia="zh-CN"/>
        </w:rPr>
        <w:t>7</w:t>
      </w:r>
      <w:r>
        <w:rPr>
          <w:rFonts w:hint="eastAsia" w:ascii="仿宋" w:hAnsi="仿宋" w:eastAsia="仿宋" w:cs="仿宋"/>
          <w:szCs w:val="32"/>
        </w:rPr>
        <w:t>.</w:t>
      </w:r>
      <w:r>
        <w:rPr>
          <w:rFonts w:hint="eastAsia" w:ascii="仿宋" w:hAnsi="仿宋" w:eastAsia="仿宋" w:cs="仿宋"/>
        </w:rPr>
        <w:t>建设单位须强化环境风险防范，落实环保设施安全生产要求，项目污染防治设施须与主体工程一起按照安全生产要求设计，有效防范因污染物事故排放或安全生产事故可能引发的环境风险。</w:t>
      </w:r>
    </w:p>
    <w:p w14:paraId="4219FE87">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lang w:val="en-US" w:eastAsia="zh-CN"/>
        </w:rPr>
      </w:pPr>
      <w:r>
        <w:rPr>
          <w:rFonts w:hint="eastAsia" w:ascii="仿宋" w:hAnsi="仿宋" w:eastAsia="仿宋" w:cs="仿宋"/>
          <w:szCs w:val="32"/>
        </w:rPr>
        <w:t>三、本</w:t>
      </w:r>
      <w:r>
        <w:rPr>
          <w:rFonts w:hint="eastAsia" w:ascii="仿宋" w:hAnsi="仿宋" w:eastAsia="仿宋" w:cs="仿宋"/>
        </w:rPr>
        <w:t>项目必须严格落实《报告书》中的运营要求，征得林业草原等主管部门同意后方可开工建设</w:t>
      </w:r>
      <w:r>
        <w:rPr>
          <w:rFonts w:hint="eastAsia" w:ascii="仿宋" w:hAnsi="仿宋" w:eastAsia="仿宋" w:cs="仿宋"/>
          <w:lang w:eastAsia="zh-CN"/>
        </w:rPr>
        <w:t>，</w:t>
      </w:r>
      <w:r>
        <w:rPr>
          <w:rFonts w:hint="eastAsia" w:ascii="仿宋" w:hAnsi="仿宋" w:eastAsia="仿宋" w:cs="仿宋"/>
        </w:rPr>
        <w:t>项目在实施过程中发现文物古迹应立即停止施工并报告有关部门进行妥善处理</w:t>
      </w:r>
      <w:r>
        <w:rPr>
          <w:rFonts w:hint="eastAsia" w:ascii="仿宋" w:hAnsi="仿宋" w:eastAsia="仿宋" w:cs="仿宋"/>
          <w:lang w:eastAsia="zh-CN"/>
        </w:rPr>
        <w:t>，</w:t>
      </w:r>
      <w:r>
        <w:rPr>
          <w:rFonts w:hint="eastAsia" w:ascii="仿宋" w:hAnsi="仿宋" w:eastAsia="仿宋" w:cs="仿宋"/>
        </w:rPr>
        <w:t>严格执行环境保护“三同时”制度。项目竣工后，按照规定程序实施竣工环境保护验收，经验收合格后，方可正式投入运行</w:t>
      </w:r>
      <w:r>
        <w:rPr>
          <w:rFonts w:hint="eastAsia" w:ascii="仿宋" w:hAnsi="仿宋" w:eastAsia="仿宋" w:cs="仿宋"/>
          <w:lang w:eastAsia="zh-CN"/>
        </w:rPr>
        <w:t>，</w:t>
      </w:r>
      <w:r>
        <w:rPr>
          <w:rFonts w:hint="eastAsia" w:ascii="仿宋" w:hAnsi="仿宋" w:eastAsia="仿宋" w:cs="仿宋"/>
          <w:lang w:val="en-US" w:eastAsia="zh-CN"/>
        </w:rPr>
        <w:t xml:space="preserve">  </w:t>
      </w:r>
    </w:p>
    <w:p w14:paraId="3AF12D53">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rPr>
      </w:pPr>
      <w:r>
        <w:rPr>
          <w:rFonts w:hint="eastAsia" w:ascii="仿宋" w:hAnsi="仿宋" w:eastAsia="仿宋" w:cs="仿宋"/>
          <w:szCs w:val="32"/>
        </w:rPr>
        <w:t>四、</w:t>
      </w:r>
      <w:r>
        <w:rPr>
          <w:rFonts w:hint="eastAsia" w:ascii="仿宋" w:hAnsi="仿宋" w:eastAsia="仿宋" w:cs="仿宋"/>
        </w:rPr>
        <w:t>你公司应在收到本批复20日内，将《报告书》（报批版）及批复文件送至鄂尔多斯市生态环境局</w:t>
      </w:r>
      <w:r>
        <w:rPr>
          <w:rFonts w:hint="eastAsia" w:ascii="仿宋" w:hAnsi="仿宋" w:eastAsia="仿宋" w:cs="仿宋"/>
          <w:lang w:eastAsia="zh-CN"/>
        </w:rPr>
        <w:t>鄂托克前旗</w:t>
      </w:r>
      <w:r>
        <w:rPr>
          <w:rFonts w:hint="eastAsia" w:ascii="仿宋" w:hAnsi="仿宋" w:eastAsia="仿宋" w:cs="仿宋"/>
        </w:rPr>
        <w:t>分局，我局委托鄂尔多斯市生态环境局</w:t>
      </w:r>
      <w:r>
        <w:rPr>
          <w:rFonts w:hint="eastAsia" w:ascii="仿宋" w:hAnsi="仿宋" w:eastAsia="仿宋" w:cs="仿宋"/>
          <w:lang w:eastAsia="zh-CN"/>
        </w:rPr>
        <w:t>鄂托克前旗</w:t>
      </w:r>
      <w:r>
        <w:rPr>
          <w:rFonts w:hint="eastAsia" w:ascii="仿宋" w:hAnsi="仿宋" w:eastAsia="仿宋" w:cs="仿宋"/>
        </w:rPr>
        <w:t>分局负责该项目的日常监管工作。</w:t>
      </w:r>
    </w:p>
    <w:p w14:paraId="7E8B7AA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outlineLvl w:val="9"/>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szCs w:val="32"/>
          <w:highlight w:val="none"/>
          <w:lang w:val="en-US" w:eastAsia="zh-CN"/>
        </w:rPr>
        <w:t>五</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kern w:val="2"/>
          <w:sz w:val="32"/>
          <w:szCs w:val="24"/>
          <w:highlight w:val="none"/>
          <w:lang w:val="en-US" w:eastAsia="zh-CN" w:bidi="ar-SA"/>
        </w:rPr>
        <w:t>该项目从批准之日起超过5年方决定开工建设，其环评文件应重新审核。如果建设地点、规模、防治污染和防止生态破坏的措施等发生重大变化时，需重新报批环评文件。</w:t>
      </w:r>
    </w:p>
    <w:p w14:paraId="07056578">
      <w:pPr>
        <w:pStyle w:val="2"/>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rPr>
      </w:pPr>
    </w:p>
    <w:p w14:paraId="343D4686">
      <w:pPr>
        <w:pStyle w:val="3"/>
        <w:rPr>
          <w:rFonts w:hint="eastAsia"/>
        </w:rPr>
      </w:pPr>
    </w:p>
    <w:p w14:paraId="346FF124">
      <w:pPr>
        <w:keepNext w:val="0"/>
        <w:keepLines w:val="0"/>
        <w:pageBreakBefore w:val="0"/>
        <w:widowControl w:val="0"/>
        <w:kinsoku/>
        <w:wordWrap/>
        <w:overflowPunct/>
        <w:topLinePunct w:val="0"/>
        <w:autoSpaceDE/>
        <w:autoSpaceDN/>
        <w:bidi w:val="0"/>
        <w:adjustRightInd w:val="0"/>
        <w:snapToGrid w:val="0"/>
        <w:spacing w:line="520" w:lineRule="exact"/>
        <w:ind w:firstLine="4800" w:firstLineChars="1500"/>
        <w:jc w:val="both"/>
        <w:textAlignment w:val="auto"/>
        <w:outlineLvl w:val="9"/>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鄂尔多斯市生态环境局</w:t>
      </w:r>
    </w:p>
    <w:p w14:paraId="0E1FE171">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 xml:space="preserve">                            </w:t>
      </w:r>
      <w:r>
        <w:rPr>
          <w:rFonts w:hint="eastAsia" w:ascii="仿宋_GB2312" w:hAnsi="仿宋_GB2312" w:eastAsia="仿宋_GB2312" w:cs="仿宋_GB2312"/>
          <w:color w:val="auto"/>
          <w:szCs w:val="32"/>
          <w:highlight w:val="none"/>
        </w:rPr>
        <w:t>20</w:t>
      </w:r>
      <w:r>
        <w:rPr>
          <w:rFonts w:hint="eastAsia" w:ascii="仿宋_GB2312" w:hAnsi="仿宋_GB2312" w:eastAsia="仿宋_GB2312" w:cs="仿宋_GB2312"/>
          <w:color w:val="auto"/>
          <w:szCs w:val="32"/>
          <w:highlight w:val="none"/>
          <w:lang w:val="en-US" w:eastAsia="zh-CN"/>
        </w:rPr>
        <w:t>24</w:t>
      </w:r>
      <w:r>
        <w:rPr>
          <w:rFonts w:hint="eastAsia" w:ascii="仿宋_GB2312" w:hAnsi="仿宋_GB2312" w:eastAsia="仿宋_GB2312" w:cs="仿宋_GB2312"/>
          <w:color w:val="auto"/>
          <w:szCs w:val="32"/>
          <w:highlight w:val="none"/>
        </w:rPr>
        <w:t>年</w:t>
      </w:r>
      <w:r>
        <w:rPr>
          <w:rFonts w:hint="eastAsia" w:ascii="仿宋_GB2312" w:hAnsi="仿宋_GB2312" w:cs="仿宋_GB2312"/>
          <w:color w:val="auto"/>
          <w:szCs w:val="32"/>
          <w:highlight w:val="none"/>
          <w:lang w:val="en-US" w:eastAsia="zh-CN"/>
        </w:rPr>
        <w:t>11</w:t>
      </w:r>
      <w:r>
        <w:rPr>
          <w:rFonts w:hint="eastAsia" w:ascii="仿宋_GB2312" w:hAnsi="仿宋_GB2312" w:eastAsia="仿宋_GB2312" w:cs="仿宋_GB2312"/>
          <w:color w:val="auto"/>
          <w:szCs w:val="32"/>
          <w:highlight w:val="none"/>
          <w:lang w:val="en-US" w:eastAsia="zh-CN"/>
        </w:rPr>
        <w:t>月</w:t>
      </w:r>
      <w:r>
        <w:rPr>
          <w:rFonts w:hint="eastAsia" w:ascii="仿宋_GB2312" w:hAnsi="仿宋_GB2312" w:cs="仿宋_GB2312"/>
          <w:color w:val="auto"/>
          <w:szCs w:val="32"/>
          <w:highlight w:val="none"/>
          <w:lang w:val="en-US" w:eastAsia="zh-CN"/>
        </w:rPr>
        <w:t>13</w:t>
      </w:r>
      <w:r>
        <w:rPr>
          <w:rFonts w:hint="eastAsia" w:ascii="仿宋_GB2312" w:hAnsi="仿宋_GB2312" w:eastAsia="仿宋_GB2312" w:cs="仿宋_GB2312"/>
          <w:color w:val="auto"/>
          <w:szCs w:val="32"/>
          <w:highlight w:val="none"/>
        </w:rPr>
        <w:t>日</w:t>
      </w:r>
    </w:p>
    <w:p w14:paraId="7129B686">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10B2B897">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7B1263FD">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26AC070D">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2A074226">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685F9D0B">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5FE591C4">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69726F9A">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1E649A96">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79E18514">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49604F9D">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66DBBF9B">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1CF22003">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02C0BE1D">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223E89AE">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07CA6B93">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753C3178">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0775D556">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0D61A121">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77798397">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7A4FBE69">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3694F693">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0D0FE462">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rPr>
      </w:pPr>
    </w:p>
    <w:p w14:paraId="170EE7E5">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ascii="仿宋_GB2312" w:hAnsi="仿宋_GB2312" w:eastAsia="仿宋_GB2312" w:cs="仿宋_GB2312"/>
          <w:color w:val="auto"/>
          <w:szCs w:val="32"/>
          <w:highlight w:val="none"/>
          <w:lang w:eastAsia="zh-CN"/>
        </w:rPr>
      </w:pPr>
    </w:p>
    <w:p w14:paraId="587850B7">
      <w:pPr>
        <w:keepNext w:val="0"/>
        <w:keepLines w:val="0"/>
        <w:pageBreakBefore w:val="0"/>
        <w:widowControl w:val="0"/>
        <w:kinsoku/>
        <w:wordWrap/>
        <w:overflowPunct/>
        <w:topLinePunct w:val="0"/>
        <w:autoSpaceDE/>
        <w:autoSpaceDN/>
        <w:bidi w:val="0"/>
        <w:spacing w:line="520" w:lineRule="exact"/>
        <w:ind w:left="840" w:hanging="840" w:hangingChars="3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6876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4pt;height:0pt;width:447.85pt;z-index:251660288;mso-width-relative:page;mso-height-relative:page;" filled="f" stroked="t" coordsize="21600,21600" o:gfxdata="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elzLNEAAAACAQAADwAAAAAAAAABACAAAAAiAAAAZHJzL2Rvd25yZXYueG1sUEsBAhQAFAAA&#10;AAgAh07iQOt7KfP2AQAA5AMAAA4AAAAAAAAAAQAgAAAAIA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highlight w:val="none"/>
        </w:rPr>
        <w:t>抄送：鄂尔多斯市生态环境局</w:t>
      </w:r>
      <w:r>
        <w:rPr>
          <w:rFonts w:hint="eastAsia" w:ascii="仿宋_GB2312" w:hAnsi="仿宋_GB2312" w:cs="仿宋_GB2312"/>
          <w:color w:val="auto"/>
          <w:sz w:val="28"/>
          <w:szCs w:val="28"/>
          <w:highlight w:val="none"/>
          <w:lang w:eastAsia="zh-CN"/>
        </w:rPr>
        <w:t>鄂托克前旗</w:t>
      </w:r>
      <w:r>
        <w:rPr>
          <w:rFonts w:hint="eastAsia" w:ascii="仿宋_GB2312" w:hAnsi="仿宋_GB2312" w:eastAsia="仿宋_GB2312" w:cs="仿宋_GB2312"/>
          <w:color w:val="auto"/>
          <w:sz w:val="28"/>
          <w:szCs w:val="28"/>
          <w:highlight w:val="none"/>
        </w:rPr>
        <w:t>分局</w:t>
      </w:r>
      <w:r>
        <w:rPr>
          <w:rFonts w:hint="eastAsia" w:ascii="仿宋_GB2312" w:hAnsi="仿宋_GB2312" w:eastAsia="仿宋_GB2312" w:cs="仿宋_GB2312"/>
          <w:color w:val="auto"/>
          <w:sz w:val="28"/>
          <w:szCs w:val="28"/>
          <w:highlight w:val="none"/>
          <w:lang w:eastAsia="zh-CN"/>
        </w:rPr>
        <w:t>，鄂尔多斯</w:t>
      </w:r>
      <w:r>
        <w:rPr>
          <w:rFonts w:hint="eastAsia" w:ascii="仿宋_GB2312" w:hAnsi="仿宋_GB2312" w:eastAsia="仿宋_GB2312" w:cs="仿宋_GB2312"/>
          <w:color w:val="auto"/>
          <w:sz w:val="28"/>
          <w:szCs w:val="28"/>
          <w:highlight w:val="none"/>
        </w:rPr>
        <w:t>市生态环境综合行政执</w:t>
      </w:r>
      <w:r>
        <w:rPr>
          <w:rFonts w:hint="eastAsia" w:ascii="仿宋_GB2312" w:hAnsi="仿宋_GB2312" w:eastAsia="仿宋_GB2312" w:cs="仿宋_GB2312"/>
          <w:color w:val="auto"/>
          <w:sz w:val="28"/>
          <w:szCs w:val="28"/>
          <w:highlight w:val="none"/>
          <w:lang w:val="en-US" w:eastAsia="zh-CN"/>
        </w:rPr>
        <w:t>法</w:t>
      </w:r>
      <w:r>
        <w:rPr>
          <w:rFonts w:hint="eastAsia" w:ascii="仿宋_GB2312" w:hAnsi="仿宋_GB2312" w:eastAsia="仿宋_GB2312" w:cs="仿宋_GB2312"/>
          <w:color w:val="auto"/>
          <w:sz w:val="28"/>
          <w:szCs w:val="28"/>
          <w:highlight w:val="none"/>
        </w:rPr>
        <w:t>支队</w:t>
      </w:r>
      <w:r>
        <w:rPr>
          <w:rFonts w:hint="eastAsia" w:ascii="仿宋_GB2312" w:hAnsi="仿宋_GB2312" w:eastAsia="仿宋_GB2312" w:cs="仿宋_GB2312"/>
          <w:color w:val="auto"/>
          <w:sz w:val="28"/>
          <w:szCs w:val="28"/>
          <w:highlight w:val="none"/>
          <w:lang w:eastAsia="zh-CN"/>
        </w:rPr>
        <w:t>，鄂尔多斯</w:t>
      </w:r>
      <w:r>
        <w:rPr>
          <w:rFonts w:hint="eastAsia" w:ascii="仿宋_GB2312" w:hAnsi="仿宋_GB2312" w:eastAsia="仿宋_GB2312" w:cs="仿宋_GB2312"/>
          <w:b w:val="0"/>
          <w:bCs/>
          <w:sz w:val="28"/>
          <w:szCs w:val="28"/>
          <w:highlight w:val="none"/>
          <w:lang w:eastAsia="zh-CN"/>
        </w:rPr>
        <w:t>市生态环境局综合保障中心，</w:t>
      </w:r>
      <w:r>
        <w:rPr>
          <w:rFonts w:hint="eastAsia" w:ascii="仿宋_GB2312" w:hAnsi="仿宋_GB2312" w:eastAsia="仿宋_GB2312" w:cs="仿宋_GB2312"/>
          <w:color w:val="auto"/>
          <w:sz w:val="28"/>
          <w:szCs w:val="28"/>
          <w:highlight w:val="none"/>
          <w:lang w:val="en-US" w:eastAsia="zh-CN"/>
        </w:rPr>
        <w:t>内蒙古百霖环保科技有限公司</w:t>
      </w:r>
      <w:r>
        <w:rPr>
          <w:rFonts w:hint="eastAsia" w:ascii="仿宋_GB2312" w:hAnsi="仿宋_GB2312" w:cs="仿宋_GB2312"/>
          <w:color w:val="auto"/>
          <w:sz w:val="28"/>
          <w:szCs w:val="28"/>
          <w:highlight w:val="none"/>
          <w:lang w:val="en-US" w:eastAsia="zh-CN"/>
        </w:rPr>
        <w:t>。</w:t>
      </w:r>
    </w:p>
    <w:p w14:paraId="31ABBE2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outlineLvl w:val="9"/>
        <w:rPr>
          <w:sz w:val="28"/>
          <w:szCs w:val="28"/>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434340</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4.2pt;height:0pt;width:447.85pt;z-index:251662336;mso-width-relative:page;mso-height-relative:page;" filled="f" stroked="t" coordsize="21600,21600" o:gfxdata="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jPGJrVAAAABwEAAA8AAAAAAAAAAQAgAAAAIgAAAGRycy9kb3ducmV2LnhtbFBLAQIU&#10;ABQAAAAIAIdO4kD6EE2e9gEAAOQ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highlight w:val="none"/>
        </w:rPr>
        <w:t xml:space="preserve">鄂尔多斯市生态环境局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日印发</w: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pt;width:447.85pt;z-index:251661312;mso-width-relative:page;mso-height-relative:page;" filled="f" stroked="t" coordsize="21600,21600" o:gfxdata="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9t2ftIAAAAEAQAADwAAAAAAAAABACAAAAAiAAAAZHJzL2Rvd25yZXYueG1sUEsBAhQAFAAA&#10;AAgAh07iQNjGhUT1AQAA5AMAAA4AAAAAAAAAAQAgAAAAIQEAAGRycy9lMm9Eb2MueG1sUEsFBgAA&#10;AAAGAAYAWQEAAIg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687695" cy="0"/>
                <wp:effectExtent l="0" t="0" r="1905" b="0"/>
                <wp:wrapNone/>
                <wp:docPr id="52992888" name="直线 5"/>
                <wp:cNvGraphicFramePr/>
                <a:graphic xmlns:a="http://schemas.openxmlformats.org/drawingml/2006/main">
                  <a:graphicData uri="http://schemas.microsoft.com/office/word/2010/wordprocessingShape">
                    <wps:wsp>
                      <wps:cNvCnPr/>
                      <wps:spPr bwMode="auto">
                        <a:xfrm>
                          <a:off x="0" y="0"/>
                          <a:ext cx="5687695" cy="0"/>
                        </a:xfrm>
                        <a:prstGeom prst="line">
                          <a:avLst/>
                        </a:prstGeom>
                        <a:noFill/>
                        <a:ln w="9525" cmpd="sng">
                          <a:solidFill>
                            <a:srgbClr val="000000"/>
                          </a:solidFill>
                          <a:round/>
                        </a:ln>
                      </wps:spPr>
                      <wps:bodyPr/>
                    </wps:wsp>
                  </a:graphicData>
                </a:graphic>
              </wp:anchor>
            </w:drawing>
          </mc:Choice>
          <mc:Fallback>
            <w:pict>
              <v:line id="直线 5" o:spid="_x0000_s1026" o:spt="20" style="position:absolute;left:0pt;margin-left:0pt;margin-top:0.6pt;height:0pt;width:447.85pt;z-index:251659264;mso-width-relative:page;mso-height-relative:page;" filled="f" stroked="t" coordsize="21600,21600" o:gfxdata="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23Z+0gAAAAQBAAAPAAAAAAAAAAEAIAAAACIAAABkcnMvZG93bnJldi54&#10;bWxQSwECFAAUAAAACACHTuJAsN2wIccBAACBAwAADgAAAAAAAAABACAAAAAhAQAAZHJzL2Uyb0Rv&#10;Yy54bWxQSwUGAAAAAAYABgBZAQAAWgUAAAAA&#10;">
                <v:fill on="f" focussize="0,0"/>
                <v:stroke color="#000000" joinstyle="round"/>
                <v:imagedata o:title=""/>
                <o:lock v:ext="edit" aspectratio="f"/>
              </v:lin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588" w:left="1588"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20B0604020202020204"/>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2895">
    <w:pPr>
      <w:pStyle w:val="6"/>
      <w:tabs>
        <w:tab w:val="clear" w:pos="4153"/>
        <w:tab w:val="clear" w:pos="8306"/>
      </w:tabs>
      <w:ind w:firstLine="560"/>
      <w:jc w:val="right"/>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w:t>
    </w:r>
    <w:r>
      <w:rPr>
        <w:rFonts w:ascii="宋体"/>
        <w:sz w:val="28"/>
        <w:szCs w:val="28"/>
        <w:lang w:val="en-US" w:eastAsia="zh-CN"/>
      </w:rPr>
      <w:t xml:space="preserve"> 4 -</w:t>
    </w:r>
    <w:r>
      <w:rPr>
        <w:rFonts w:hint="eastAsia"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38F7C">
    <w:pPr>
      <w:pStyle w:val="6"/>
      <w:tabs>
        <w:tab w:val="clear" w:pos="4153"/>
        <w:tab w:val="clear" w:pos="8306"/>
      </w:tabs>
      <w:ind w:firstLine="560"/>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w:t>
    </w:r>
    <w:r>
      <w:rPr>
        <w:rFonts w:ascii="宋体"/>
        <w:sz w:val="28"/>
        <w:szCs w:val="28"/>
        <w:lang w:val="en-US" w:eastAsia="zh-CN"/>
      </w:rPr>
      <w:t xml:space="preserve"> 4 -</w:t>
    </w:r>
    <w:r>
      <w:rPr>
        <w:rFonts w:hint="eastAsia" w:asci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D83F">
    <w:pPr>
      <w:pStyle w:val="6"/>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5935F">
    <w:pPr>
      <w:pStyle w:val="7"/>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DA9D5">
    <w:pPr>
      <w:pStyle w:val="7"/>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99E38">
    <w:pPr>
      <w:pStyle w:val="7"/>
      <w:pBdr>
        <w:bottom w:val="none" w:color="auto" w:sz="0" w:space="0"/>
      </w:pBdr>
      <w:tabs>
        <w:tab w:val="clear" w:pos="4153"/>
        <w:tab w:val="clear" w:pos="8306"/>
      </w:tabs>
      <w:ind w:firstLine="360"/>
    </w:pPr>
  </w:p>
  <w:p w14:paraId="188D7DB3">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F79CF1D"/>
    <w:rsid w:val="5EF8253D"/>
    <w:rsid w:val="EE9BF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qFormat/>
    <w:uiPriority w:val="0"/>
    <w:rPr>
      <w:rFonts w:ascii="Times New Roman" w:hAnsi="Times New Roman" w:eastAsia="宋体" w:cs="Times New Roman"/>
    </w:rPr>
  </w:style>
  <w:style w:type="table" w:default="1" w:styleId="10">
    <w:name w:val="Normal Table"/>
    <w:qFormat/>
    <w:uiPriority w:val="0"/>
    <w:tblPr>
      <w:tblCellMar>
        <w:top w:w="0" w:type="dxa"/>
        <w:left w:w="108" w:type="dxa"/>
        <w:bottom w:w="0" w:type="dxa"/>
        <w:right w:w="108" w:type="dxa"/>
      </w:tblCellMar>
    </w:tblPr>
  </w:style>
  <w:style w:type="paragraph" w:styleId="2">
    <w:name w:val="Normal Indent"/>
    <w:basedOn w:val="1"/>
    <w:next w:val="3"/>
    <w:link w:val="12"/>
    <w:qFormat/>
    <w:uiPriority w:val="0"/>
    <w:rPr>
      <w:rFonts w:ascii="Calibri" w:hAnsi="Calibri" w:eastAsia="宋体"/>
      <w:kern w:val="0"/>
    </w:rPr>
  </w:style>
  <w:style w:type="paragraph" w:styleId="3">
    <w:name w:val="Body Text First Indent 2"/>
    <w:basedOn w:val="4"/>
    <w:next w:val="1"/>
    <w:qFormat/>
    <w:uiPriority w:val="0"/>
    <w:pPr>
      <w:ind w:firstLine="420"/>
    </w:pPr>
  </w:style>
  <w:style w:type="paragraph" w:styleId="4">
    <w:name w:val="Body Text Indent"/>
    <w:basedOn w:val="1"/>
    <w:next w:val="1"/>
    <w:qFormat/>
    <w:uiPriority w:val="0"/>
    <w:pPr>
      <w:spacing w:after="120"/>
      <w:ind w:left="420" w:leftChars="200"/>
    </w:pPr>
    <w:rPr>
      <w:rFonts w:eastAsia="宋体"/>
    </w:rPr>
  </w:style>
  <w:style w:type="paragraph" w:styleId="5">
    <w:name w:val="Body Text"/>
    <w:basedOn w:val="1"/>
    <w:qFormat/>
    <w:uiPriority w:val="0"/>
    <w:pPr>
      <w:spacing w:after="120"/>
    </w:pPr>
    <w:rPr>
      <w:rFonts w:eastAsia="宋体"/>
    </w:rPr>
  </w:style>
  <w:style w:type="paragraph" w:styleId="6">
    <w:name w:val="footer"/>
    <w:basedOn w:val="1"/>
    <w:link w:val="13"/>
    <w:qFormat/>
    <w:uiPriority w:val="0"/>
    <w:pPr>
      <w:tabs>
        <w:tab w:val="center" w:pos="4153"/>
        <w:tab w:val="right" w:pos="8306"/>
      </w:tabs>
      <w:snapToGrid w:val="0"/>
      <w:jc w:val="left"/>
    </w:pPr>
    <w:rPr>
      <w:rFonts w:eastAsia="宋体"/>
      <w:kern w:val="0"/>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rPr>
  </w:style>
  <w:style w:type="paragraph" w:styleId="9">
    <w:name w:val="Body Text First Indent"/>
    <w:basedOn w:val="5"/>
    <w:next w:val="1"/>
    <w:qFormat/>
    <w:uiPriority w:val="0"/>
    <w:pPr>
      <w:ind w:firstLine="420" w:firstLineChars="100"/>
    </w:pPr>
  </w:style>
  <w:style w:type="character" w:customStyle="1" w:styleId="12">
    <w:name w:val="正文缩进 字符"/>
    <w:link w:val="2"/>
    <w:qFormat/>
    <w:uiPriority w:val="0"/>
    <w:rPr>
      <w:rFonts w:ascii="Times New Roman" w:hAnsi="Times New Roman" w:eastAsia="仿宋_GB2312" w:cs="Times New Roman"/>
      <w:sz w:val="32"/>
      <w:szCs w:val="24"/>
    </w:rPr>
  </w:style>
  <w:style w:type="character" w:customStyle="1" w:styleId="13">
    <w:name w:val="页脚 字符"/>
    <w:link w:val="6"/>
    <w:qFormat/>
    <w:uiPriority w:val="0"/>
    <w:rPr>
      <w:rFonts w:ascii="Times New Roman" w:hAnsi="Times New Roman" w:eastAsia="仿宋_GB2312" w:cs="Times New Roman"/>
      <w:sz w:val="18"/>
      <w:szCs w:val="18"/>
    </w:rPr>
  </w:style>
  <w:style w:type="character" w:customStyle="1" w:styleId="14">
    <w:name w:val="页眉 字符"/>
    <w:link w:val="7"/>
    <w:qFormat/>
    <w:uiPriority w:val="0"/>
    <w:rPr>
      <w:rFonts w:ascii="Times New Roman" w:hAnsi="Times New Roman" w:eastAsia="仿宋_GB2312" w:cs="Times New Roman"/>
      <w:sz w:val="18"/>
      <w:szCs w:val="18"/>
    </w:rPr>
  </w:style>
  <w:style w:type="paragraph" w:customStyle="1" w:styleId="15">
    <w:name w:val="样式 正文缩进正文缩进2正文缩进 Char Char正文缩进 Char Char Char Char正文缩进 Char ..."/>
    <w:basedOn w:val="2"/>
    <w:qFormat/>
    <w:uiPriority w:val="0"/>
    <w:pPr>
      <w:spacing w:line="360" w:lineRule="auto"/>
    </w:pPr>
    <w:rPr>
      <w:rFonts w:ascii="Times New Roman" w:hAnsi="Times New Roman" w:cs="宋体"/>
      <w:sz w:val="24"/>
    </w:rPr>
  </w:style>
  <w:style w:type="paragraph" w:customStyle="1" w:styleId="16">
    <w:name w:val="Default"/>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character" w:customStyle="1" w:styleId="17">
    <w:name w:val="fontstyle21"/>
    <w:qFormat/>
    <w:uiPriority w:val="0"/>
    <w:rPr>
      <w:rFonts w:hint="eastAsia" w:ascii="TimesNewRomanPSMT" w:hAnsi="Times New Roman" w:eastAsia="TimesNewRomanPSMT" w:cs="Times New Roman"/>
      <w:color w:val="000000"/>
      <w:sz w:val="22"/>
      <w:szCs w:val="22"/>
    </w:rPr>
  </w:style>
  <w:style w:type="character" w:customStyle="1" w:styleId="18">
    <w:name w:val="fontstyle01"/>
    <w:qFormat/>
    <w:uiPriority w:val="0"/>
    <w:rPr>
      <w:rFonts w:hint="eastAsia" w:ascii="宋体" w:hAnsi="宋体" w:eastAsia="宋体" w:cs="Times New Roman"/>
      <w:color w:val="000000"/>
      <w:sz w:val="22"/>
      <w:szCs w:val="22"/>
    </w:rPr>
  </w:style>
  <w:style w:type="character" w:customStyle="1" w:styleId="19">
    <w:name w:val="大标题"/>
    <w:qFormat/>
    <w:uiPriority w:val="0"/>
    <w:rPr>
      <w:rFonts w:ascii="Times New Roman" w:hAnsi="Times New Roman" w:eastAsia="宋体" w:cs="Times New Roman"/>
      <w:b/>
      <w:spacing w:val="0"/>
      <w:w w:val="100"/>
      <w:position w:val="0"/>
      <w:sz w:val="28"/>
    </w:rPr>
  </w:style>
  <w:style w:type="paragraph" w:customStyle="1" w:styleId="20">
    <w:name w:val="111111正文"/>
    <w:basedOn w:val="1"/>
    <w:qFormat/>
    <w:uiPriority w:val="0"/>
    <w:pPr>
      <w:spacing w:line="360" w:lineRule="auto"/>
    </w:pPr>
    <w:rPr>
      <w:sz w:val="24"/>
    </w:rPr>
  </w:style>
  <w:style w:type="paragraph" w:customStyle="1" w:styleId="21">
    <w:name w:val="正文格式"/>
    <w:basedOn w:val="1"/>
    <w:qFormat/>
    <w:uiPriority w:val="0"/>
    <w:pPr>
      <w:spacing w:line="360" w:lineRule="auto"/>
      <w:ind w:firstLine="482"/>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2505</Words>
  <Characters>2664</Characters>
  <Lines>2</Lines>
  <Paragraphs>6</Paragraphs>
  <TotalTime>13</TotalTime>
  <ScaleCrop>false</ScaleCrop>
  <LinksUpToDate>false</LinksUpToDate>
  <CharactersWithSpaces>2729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2024-08-30T10:57:00Z</dcterms:created>
  <dc:creator>Administrator</dc:creator>
  <cp:lastModifiedBy>Administrator</cp:lastModifiedBy>
  <cp:lastPrinted>2024-11-20T18:40:00Z</cp:lastPrinted>
  <dcterms:modified xsi:type="dcterms:W3CDTF">2024-11-21T07:01:34Z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E3C0299A4185477FB6CB601C7E3EF875_13</vt:lpwstr>
  </property>
</Properties>
</file>