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4A332">
      <w:pPr>
        <w:spacing w:line="540" w:lineRule="exact"/>
        <w:ind w:firstLine="640"/>
        <w:rPr>
          <w:rFonts w:eastAsia="仿宋"/>
          <w:highlight w:val="none"/>
        </w:rPr>
      </w:pPr>
    </w:p>
    <w:p w14:paraId="51F58A48">
      <w:pPr>
        <w:tabs>
          <w:tab w:val="left" w:pos="8280"/>
        </w:tabs>
        <w:spacing w:line="540" w:lineRule="exact"/>
        <w:ind w:right="26" w:firstLine="5120" w:firstLineChars="1600"/>
        <w:rPr>
          <w:rFonts w:eastAsia="仿宋"/>
          <w:highlight w:val="none"/>
        </w:rPr>
      </w:pPr>
    </w:p>
    <w:p w14:paraId="53C6D32F">
      <w:pPr>
        <w:tabs>
          <w:tab w:val="left" w:pos="8280"/>
        </w:tabs>
        <w:spacing w:line="540" w:lineRule="exact"/>
        <w:ind w:right="26" w:firstLine="5120" w:firstLineChars="1600"/>
        <w:rPr>
          <w:rFonts w:eastAsia="仿宋"/>
          <w:highlight w:val="none"/>
        </w:rPr>
      </w:pPr>
    </w:p>
    <w:p w14:paraId="0DA0828D">
      <w:pPr>
        <w:tabs>
          <w:tab w:val="left" w:pos="8280"/>
        </w:tabs>
        <w:spacing w:line="540" w:lineRule="exact"/>
        <w:ind w:right="26" w:firstLine="5120" w:firstLineChars="1600"/>
        <w:rPr>
          <w:rFonts w:eastAsia="仿宋"/>
          <w:highlight w:val="none"/>
        </w:rPr>
      </w:pPr>
    </w:p>
    <w:p w14:paraId="61BD11D8">
      <w:pPr>
        <w:tabs>
          <w:tab w:val="left" w:pos="8280"/>
        </w:tabs>
        <w:spacing w:line="540" w:lineRule="exact"/>
        <w:ind w:right="26" w:firstLine="5120" w:firstLineChars="1600"/>
        <w:rPr>
          <w:rFonts w:eastAsia="仿宋"/>
          <w:highlight w:val="none"/>
        </w:rPr>
      </w:pPr>
    </w:p>
    <w:p w14:paraId="2D627545">
      <w:pPr>
        <w:tabs>
          <w:tab w:val="left" w:pos="8280"/>
        </w:tabs>
        <w:spacing w:line="540" w:lineRule="exact"/>
        <w:ind w:right="26" w:firstLine="5120" w:firstLineChars="1600"/>
        <w:rPr>
          <w:rFonts w:eastAsia="仿宋"/>
          <w:highlight w:val="none"/>
        </w:rPr>
      </w:pPr>
    </w:p>
    <w:p w14:paraId="35399DD3">
      <w:pPr>
        <w:tabs>
          <w:tab w:val="left" w:pos="8280"/>
        </w:tabs>
        <w:spacing w:line="540" w:lineRule="exact"/>
        <w:ind w:right="26" w:firstLine="5120" w:firstLineChars="1600"/>
        <w:rPr>
          <w:rFonts w:eastAsia="仿宋"/>
          <w:highlight w:val="none"/>
        </w:rPr>
      </w:pPr>
    </w:p>
    <w:p w14:paraId="7E68859C">
      <w:pPr>
        <w:tabs>
          <w:tab w:val="left" w:pos="8280"/>
        </w:tabs>
        <w:spacing w:line="540" w:lineRule="exact"/>
        <w:ind w:right="26" w:firstLine="5120" w:firstLineChars="1600"/>
        <w:rPr>
          <w:rFonts w:eastAsia="仿宋"/>
          <w:highlight w:val="none"/>
        </w:rPr>
      </w:pPr>
    </w:p>
    <w:p w14:paraId="0ADAA956">
      <w:pPr>
        <w:tabs>
          <w:tab w:val="left" w:pos="8280"/>
        </w:tabs>
        <w:spacing w:line="540" w:lineRule="exact"/>
        <w:ind w:right="26" w:firstLine="5120" w:firstLineChars="1600"/>
        <w:rPr>
          <w:rFonts w:eastAsia="仿宋"/>
          <w:highlight w:val="none"/>
        </w:rPr>
      </w:pPr>
    </w:p>
    <w:p w14:paraId="019EFEDE">
      <w:pPr>
        <w:tabs>
          <w:tab w:val="left" w:pos="8280"/>
        </w:tabs>
        <w:spacing w:line="560" w:lineRule="exact"/>
        <w:ind w:right="26" w:firstLine="5120" w:firstLineChars="1600"/>
        <w:rPr>
          <w:rFonts w:eastAsia="仿宋"/>
          <w:highlight w:val="none"/>
        </w:rPr>
      </w:pPr>
    </w:p>
    <w:p w14:paraId="4BA44E15">
      <w:pPr>
        <w:spacing w:line="560" w:lineRule="exact"/>
        <w:ind w:firstLine="0" w:firstLineChars="0"/>
        <w:jc w:val="center"/>
        <w:rPr>
          <w:rFonts w:eastAsia="仿宋"/>
          <w:szCs w:val="20"/>
          <w:highlight w:val="none"/>
        </w:rPr>
      </w:pPr>
      <w:r>
        <w:rPr>
          <w:rFonts w:eastAsia="仿宋"/>
          <w:szCs w:val="20"/>
          <w:highlight w:val="none"/>
        </w:rPr>
        <w:t>鄂环审字〔202</w:t>
      </w:r>
      <w:r>
        <w:rPr>
          <w:rFonts w:hint="eastAsia" w:eastAsia="仿宋"/>
          <w:szCs w:val="20"/>
          <w:highlight w:val="none"/>
        </w:rPr>
        <w:t>4</w:t>
      </w:r>
      <w:r>
        <w:rPr>
          <w:rFonts w:eastAsia="仿宋"/>
          <w:szCs w:val="20"/>
          <w:highlight w:val="none"/>
        </w:rPr>
        <w:t>〕</w:t>
      </w:r>
      <w:r>
        <w:rPr>
          <w:rFonts w:hint="eastAsia" w:eastAsia="仿宋"/>
          <w:szCs w:val="20"/>
          <w:highlight w:val="none"/>
          <w:lang w:val="en-US" w:eastAsia="zh-CN"/>
        </w:rPr>
        <w:t>159</w:t>
      </w:r>
      <w:r>
        <w:rPr>
          <w:rFonts w:eastAsia="仿宋"/>
          <w:szCs w:val="20"/>
          <w:highlight w:val="none"/>
        </w:rPr>
        <w:t>号</w:t>
      </w:r>
    </w:p>
    <w:p w14:paraId="795467C0">
      <w:pPr>
        <w:tabs>
          <w:tab w:val="left" w:pos="2860"/>
        </w:tabs>
        <w:adjustRightInd w:val="0"/>
        <w:snapToGrid w:val="0"/>
        <w:spacing w:line="560" w:lineRule="exact"/>
        <w:ind w:firstLine="800"/>
        <w:jc w:val="center"/>
        <w:rPr>
          <w:sz w:val="40"/>
          <w:szCs w:val="40"/>
          <w:highlight w:val="none"/>
        </w:rPr>
      </w:pPr>
      <w:r>
        <w:rPr>
          <w:sz w:val="40"/>
          <w:szCs w:val="40"/>
          <w:highlight w:val="none"/>
        </w:rPr>
        <w:tab/>
      </w:r>
    </w:p>
    <w:p w14:paraId="361D1A2D">
      <w:pPr>
        <w:ind w:firstLine="0" w:firstLineChars="0"/>
        <w:jc w:val="center"/>
        <w:rPr>
          <w:rFonts w:hint="eastAsia" w:ascii="宋体" w:hAnsi="宋体" w:eastAsia="宋体" w:cs="宋体"/>
          <w:sz w:val="45"/>
          <w:szCs w:val="45"/>
          <w:highlight w:val="none"/>
        </w:rPr>
      </w:pPr>
      <w:r>
        <w:rPr>
          <w:rFonts w:ascii="宋体" w:hAnsi="宋体" w:eastAsia="宋体" w:cs="宋体"/>
          <w:b/>
          <w:bCs/>
          <w:spacing w:val="-34"/>
          <w:sz w:val="45"/>
          <w:szCs w:val="45"/>
          <w:highlight w:val="none"/>
        </w:rPr>
        <w:t>鄂尔多斯市生态环境局</w:t>
      </w:r>
    </w:p>
    <w:p w14:paraId="1581F9B5">
      <w:pPr>
        <w:ind w:firstLine="0" w:firstLineChars="0"/>
        <w:jc w:val="center"/>
        <w:rPr>
          <w:rFonts w:hint="eastAsia" w:ascii="宋体" w:hAnsi="宋体" w:eastAsia="宋体" w:cs="宋体"/>
          <w:b/>
          <w:bCs/>
          <w:spacing w:val="-34"/>
          <w:sz w:val="45"/>
          <w:szCs w:val="45"/>
          <w:highlight w:val="none"/>
        </w:rPr>
      </w:pPr>
      <w:r>
        <w:rPr>
          <w:rFonts w:ascii="宋体" w:hAnsi="宋体" w:eastAsia="宋体" w:cs="宋体"/>
          <w:b/>
          <w:bCs/>
          <w:spacing w:val="-34"/>
          <w:sz w:val="45"/>
          <w:szCs w:val="45"/>
          <w:highlight w:val="none"/>
        </w:rPr>
        <w:t>关于</w:t>
      </w:r>
      <w:r>
        <w:rPr>
          <w:rFonts w:hint="eastAsia" w:ascii="宋体" w:hAnsi="宋体" w:eastAsia="宋体" w:cs="宋体"/>
          <w:b/>
          <w:bCs/>
          <w:spacing w:val="-34"/>
          <w:sz w:val="45"/>
          <w:szCs w:val="45"/>
          <w:highlight w:val="none"/>
        </w:rPr>
        <w:t>中煤鄂尔多斯能源化工有限公司</w:t>
      </w:r>
    </w:p>
    <w:p w14:paraId="36554190">
      <w:pPr>
        <w:ind w:firstLine="0" w:firstLineChars="0"/>
        <w:jc w:val="center"/>
        <w:rPr>
          <w:rFonts w:hint="eastAsia" w:ascii="宋体" w:hAnsi="宋体" w:eastAsia="宋体" w:cs="宋体"/>
          <w:b/>
          <w:bCs/>
          <w:spacing w:val="-34"/>
          <w:sz w:val="45"/>
          <w:szCs w:val="45"/>
          <w:highlight w:val="none"/>
        </w:rPr>
      </w:pPr>
      <w:r>
        <w:rPr>
          <w:rFonts w:hint="eastAsia" w:ascii="宋体" w:hAnsi="宋体" w:eastAsia="宋体" w:cs="宋体"/>
          <w:b/>
          <w:bCs/>
          <w:spacing w:val="-34"/>
          <w:sz w:val="45"/>
          <w:szCs w:val="45"/>
          <w:highlight w:val="none"/>
        </w:rPr>
        <w:t>5.5万吨/年粗苯加氢项目</w:t>
      </w:r>
      <w:r>
        <w:rPr>
          <w:rFonts w:ascii="宋体" w:hAnsi="宋体" w:eastAsia="宋体" w:cs="宋体"/>
          <w:b/>
          <w:bCs/>
          <w:spacing w:val="-34"/>
          <w:sz w:val="45"/>
          <w:szCs w:val="45"/>
          <w:highlight w:val="none"/>
        </w:rPr>
        <w:t>环境影响报告书的批复</w:t>
      </w:r>
    </w:p>
    <w:p w14:paraId="7FC0FC9D">
      <w:pPr>
        <w:spacing w:line="560" w:lineRule="exact"/>
        <w:ind w:firstLine="640"/>
        <w:rPr>
          <w:szCs w:val="21"/>
          <w:highlight w:val="none"/>
        </w:rPr>
      </w:pPr>
    </w:p>
    <w:p w14:paraId="29A801EE">
      <w:pPr>
        <w:adjustRightInd w:val="0"/>
        <w:snapToGrid w:val="0"/>
        <w:spacing w:line="560" w:lineRule="exact"/>
        <w:ind w:firstLine="0" w:firstLineChars="0"/>
        <w:rPr>
          <w:rFonts w:hint="eastAsia" w:ascii="仿宋" w:hAnsi="仿宋" w:eastAsia="仿宋" w:cs="仿宋"/>
          <w:szCs w:val="32"/>
          <w:highlight w:val="none"/>
        </w:rPr>
      </w:pPr>
      <w:r>
        <w:rPr>
          <w:rFonts w:hint="eastAsia" w:ascii="仿宋" w:hAnsi="仿宋" w:eastAsia="仿宋" w:cs="仿宋"/>
          <w:szCs w:val="32"/>
          <w:highlight w:val="none"/>
        </w:rPr>
        <w:t>中煤鄂尔多斯能源化工有限公司：</w:t>
      </w:r>
    </w:p>
    <w:p w14:paraId="2D5EDAB5">
      <w:pPr>
        <w:spacing w:line="600" w:lineRule="exact"/>
        <w:ind w:firstLine="640"/>
        <w:rPr>
          <w:rFonts w:hint="eastAsia" w:ascii="仿宋" w:hAnsi="仿宋" w:eastAsia="仿宋" w:cs="仿宋"/>
          <w:szCs w:val="32"/>
          <w:highlight w:val="none"/>
        </w:rPr>
      </w:pPr>
      <w:r>
        <w:rPr>
          <w:rFonts w:hint="eastAsia" w:ascii="仿宋" w:hAnsi="仿宋" w:eastAsia="仿宋" w:cs="仿宋"/>
          <w:szCs w:val="32"/>
          <w:highlight w:val="none"/>
        </w:rPr>
        <w:t>你公司报送的由东科建设有限公司编制的《中煤鄂尔多斯能源化工有限公司5.5万吨/年粗苯加氢项目影响报告书》(以下简称《报告书》)和《乌审旗人民政府关于支持中煤鄂尔多斯能源化工3个新建项目环评手续办理的请示》（乌政字</w:t>
      </w:r>
      <w:r>
        <w:rPr>
          <w:rFonts w:eastAsia="仿宋"/>
          <w:szCs w:val="20"/>
          <w:highlight w:val="none"/>
        </w:rPr>
        <w:t>〔202</w:t>
      </w:r>
      <w:r>
        <w:rPr>
          <w:rFonts w:hint="eastAsia" w:eastAsia="仿宋"/>
          <w:szCs w:val="20"/>
          <w:highlight w:val="none"/>
        </w:rPr>
        <w:t>4</w:t>
      </w:r>
      <w:r>
        <w:rPr>
          <w:rFonts w:eastAsia="仿宋"/>
          <w:szCs w:val="20"/>
          <w:highlight w:val="none"/>
        </w:rPr>
        <w:t>〕</w:t>
      </w:r>
      <w:r>
        <w:rPr>
          <w:rFonts w:hint="eastAsia" w:eastAsia="仿宋"/>
          <w:szCs w:val="20"/>
          <w:highlight w:val="none"/>
        </w:rPr>
        <w:t>23号</w:t>
      </w:r>
      <w:r>
        <w:rPr>
          <w:rFonts w:hint="eastAsia" w:ascii="仿宋" w:hAnsi="仿宋" w:eastAsia="仿宋" w:cs="仿宋"/>
          <w:szCs w:val="32"/>
          <w:highlight w:val="none"/>
        </w:rPr>
        <w:t>）收悉，我局综合保障中心组织专家对该项目进行了技术评估，并形成了技术评估报告，根据《报告书》、《技术评估报告》,经研究，现批复如下：</w:t>
      </w:r>
    </w:p>
    <w:p w14:paraId="2AF92407">
      <w:pPr>
        <w:spacing w:line="600" w:lineRule="exact"/>
        <w:ind w:firstLine="640"/>
        <w:rPr>
          <w:rFonts w:hint="eastAsia" w:ascii="仿宋" w:hAnsi="仿宋" w:eastAsia="仿宋" w:cs="仿宋"/>
          <w:szCs w:val="32"/>
          <w:highlight w:val="none"/>
        </w:rPr>
      </w:pPr>
      <w:r>
        <w:rPr>
          <w:rFonts w:hint="eastAsia" w:ascii="仿宋" w:hAnsi="仿宋" w:eastAsia="仿宋" w:cs="仿宋"/>
          <w:szCs w:val="32"/>
          <w:highlight w:val="none"/>
        </w:rPr>
        <w:t>一、该项目位于鄂尔多斯市乌审旗苏里格经济开发区-图克工业项目区</w:t>
      </w:r>
      <w:r>
        <w:rPr>
          <w:rFonts w:hint="eastAsia" w:ascii="仿宋" w:hAnsi="仿宋" w:eastAsia="仿宋" w:cs="仿宋"/>
          <w:szCs w:val="32"/>
          <w:highlight w:val="none"/>
          <w:lang w:eastAsia="zh-Hans"/>
        </w:rPr>
        <w:t>，</w:t>
      </w:r>
      <w:r>
        <w:rPr>
          <w:rFonts w:hint="eastAsia" w:ascii="仿宋" w:hAnsi="仿宋" w:eastAsia="仿宋" w:cs="仿宋"/>
          <w:szCs w:val="32"/>
          <w:highlight w:val="none"/>
        </w:rPr>
        <w:t>中煤鄂尔多斯能源化工有限公司现有厂区外东侧。</w:t>
      </w:r>
    </w:p>
    <w:p w14:paraId="32E7E4F4">
      <w:pPr>
        <w:spacing w:line="600" w:lineRule="exact"/>
        <w:ind w:firstLine="0" w:firstLineChars="0"/>
        <w:rPr>
          <w:rFonts w:hint="eastAsia" w:ascii="仿宋" w:hAnsi="仿宋" w:eastAsia="仿宋" w:cs="仿宋"/>
          <w:szCs w:val="32"/>
          <w:highlight w:val="none"/>
        </w:rPr>
      </w:pPr>
      <w:r>
        <w:rPr>
          <w:rFonts w:hint="eastAsia" w:ascii="仿宋" w:hAnsi="仿宋" w:eastAsia="仿宋" w:cs="仿宋"/>
          <w:szCs w:val="32"/>
          <w:highlight w:val="none"/>
        </w:rPr>
        <w:t>主要</w:t>
      </w:r>
      <w:r>
        <w:rPr>
          <w:rFonts w:hint="eastAsia" w:ascii="仿宋_GB2312" w:hAnsi="宋体"/>
          <w:highlight w:val="none"/>
        </w:rPr>
        <w:t>采用低温气相加氢技术生产工艺，年产3.66万吨苯、0.59万吨甲苯、0.23万吨混合二甲苯主产品，</w:t>
      </w:r>
      <w:r>
        <w:rPr>
          <w:rFonts w:hint="eastAsia" w:ascii="仿宋" w:hAnsi="仿宋" w:eastAsia="仿宋" w:cs="仿宋"/>
          <w:szCs w:val="32"/>
          <w:highlight w:val="none"/>
        </w:rPr>
        <w:t>总占地面积为</w:t>
      </w:r>
      <w:r>
        <w:rPr>
          <w:rFonts w:hint="eastAsia" w:ascii="仿宋_GB2312" w:hAnsi="宋体"/>
          <w:highlight w:val="none"/>
        </w:rPr>
        <w:t>31271.19</w:t>
      </w:r>
      <w:r>
        <w:rPr>
          <w:rFonts w:hint="eastAsia" w:ascii="仿宋" w:hAnsi="仿宋" w:eastAsia="仿宋" w:cs="仿宋"/>
          <w:szCs w:val="32"/>
          <w:highlight w:val="none"/>
        </w:rPr>
        <w:t>平方米，建设内容包括粗苯加氢装置、PSA提氢装置、罐区及废气治理等环保设施。本项目总投资</w:t>
      </w:r>
      <w:r>
        <w:rPr>
          <w:rFonts w:hint="eastAsia" w:ascii="仿宋_GB2312" w:hAnsi="仿宋_GB2312" w:cs="仿宋_GB2312"/>
          <w:bCs/>
          <w:szCs w:val="32"/>
          <w:highlight w:val="none"/>
        </w:rPr>
        <w:t>18654</w:t>
      </w:r>
      <w:r>
        <w:rPr>
          <w:rFonts w:hint="eastAsia" w:ascii="仿宋" w:hAnsi="仿宋" w:eastAsia="仿宋" w:cs="仿宋"/>
          <w:szCs w:val="32"/>
          <w:highlight w:val="none"/>
        </w:rPr>
        <w:t>万元，环保投资总额为</w:t>
      </w:r>
      <w:bookmarkStart w:id="0" w:name="_GoBack"/>
      <w:r>
        <w:rPr>
          <w:rFonts w:hint="eastAsia" w:ascii="仿宋_GB2312" w:hAnsi="仿宋_GB2312" w:cs="仿宋_GB2312"/>
          <w:bCs/>
          <w:szCs w:val="32"/>
          <w:highlight w:val="none"/>
        </w:rPr>
        <w:t>290</w:t>
      </w:r>
      <w:bookmarkEnd w:id="0"/>
      <w:r>
        <w:rPr>
          <w:rFonts w:hint="eastAsia" w:ascii="仿宋" w:hAnsi="仿宋" w:eastAsia="仿宋" w:cs="仿宋"/>
          <w:szCs w:val="32"/>
          <w:highlight w:val="none"/>
        </w:rPr>
        <w:t>万元。</w:t>
      </w:r>
    </w:p>
    <w:p w14:paraId="05473844">
      <w:pPr>
        <w:adjustRightInd w:val="0"/>
        <w:snapToGrid w:val="0"/>
        <w:spacing w:line="560" w:lineRule="exact"/>
        <w:ind w:firstLine="640"/>
        <w:rPr>
          <w:rFonts w:hint="eastAsia" w:ascii="仿宋" w:hAnsi="仿宋" w:eastAsia="仿宋" w:cs="仿宋"/>
          <w:szCs w:val="32"/>
          <w:highlight w:val="none"/>
        </w:rPr>
      </w:pPr>
      <w:r>
        <w:rPr>
          <w:rFonts w:hint="eastAsia" w:ascii="仿宋" w:hAnsi="仿宋" w:eastAsia="仿宋" w:cs="仿宋"/>
          <w:szCs w:val="32"/>
          <w:highlight w:val="none"/>
        </w:rPr>
        <w:t>《报告书》和《技术评估报告》认为，在全面落实各项生态环境保护和污染防治措施的前提下，该项目建设对产生的不利影响可以得到一定的缓解和控制。因此，我局原则同意你公司按照《报告书》所列的建设项目性质、规模、地点、工艺、环境保护措施进行建设。</w:t>
      </w:r>
    </w:p>
    <w:p w14:paraId="18463118">
      <w:pPr>
        <w:adjustRightInd w:val="0"/>
        <w:snapToGrid w:val="0"/>
        <w:spacing w:line="560" w:lineRule="exact"/>
        <w:ind w:firstLine="640"/>
        <w:rPr>
          <w:rFonts w:hint="eastAsia" w:ascii="仿宋" w:hAnsi="仿宋" w:eastAsia="仿宋" w:cs="仿宋"/>
          <w:szCs w:val="32"/>
          <w:highlight w:val="none"/>
        </w:rPr>
      </w:pPr>
      <w:r>
        <w:rPr>
          <w:rFonts w:hint="eastAsia" w:ascii="仿宋" w:hAnsi="仿宋" w:eastAsia="仿宋" w:cs="仿宋"/>
          <w:szCs w:val="32"/>
          <w:highlight w:val="none"/>
        </w:rPr>
        <w:t>二、项目建设与运行管理中应重点做好以下工作：</w:t>
      </w:r>
    </w:p>
    <w:p w14:paraId="57D61586">
      <w:pPr>
        <w:adjustRightInd w:val="0"/>
        <w:snapToGrid w:val="0"/>
        <w:spacing w:line="560" w:lineRule="exact"/>
        <w:ind w:firstLine="640"/>
        <w:rPr>
          <w:rFonts w:hint="eastAsia" w:ascii="仿宋" w:hAnsi="仿宋" w:eastAsia="仿宋" w:cs="仿宋"/>
          <w:szCs w:val="32"/>
          <w:highlight w:val="none"/>
        </w:rPr>
      </w:pPr>
      <w:r>
        <w:rPr>
          <w:rFonts w:hint="eastAsia" w:ascii="仿宋" w:hAnsi="仿宋" w:eastAsia="仿宋" w:cs="仿宋"/>
          <w:szCs w:val="32"/>
          <w:highlight w:val="none"/>
        </w:rPr>
        <w:t>1.加强施工期环境管理，设置施工围挡，对物料采取密闭或覆盖等方式，建筑土方、工程渣土、建筑垃圾及时运输到指定场所进行处置，运输道路硬化、洒水，物料运输的车辆加盖篷布；</w:t>
      </w:r>
    </w:p>
    <w:p w14:paraId="4B048B2C">
      <w:pPr>
        <w:pStyle w:val="3"/>
        <w:spacing w:line="360" w:lineRule="auto"/>
        <w:ind w:firstLine="0" w:firstLineChars="0"/>
        <w:rPr>
          <w:rFonts w:hint="eastAsia" w:ascii="仿宋" w:hAnsi="仿宋" w:eastAsia="仿宋" w:cs="仿宋"/>
          <w:szCs w:val="32"/>
          <w:highlight w:val="none"/>
        </w:rPr>
      </w:pPr>
      <w:r>
        <w:rPr>
          <w:rFonts w:hint="eastAsia"/>
          <w:highlight w:val="none"/>
        </w:rPr>
        <w:t>施工机械冲洗废水经过沉淀处理后用于场地洒水或回用，生活污水进入厂区现有污水处理厂；合理安排施工时间、合理布局施工场地、采取低噪设备、对运输车辆定期维修、养护，保持车况良好</w:t>
      </w:r>
      <w:r>
        <w:rPr>
          <w:rFonts w:hint="eastAsia" w:ascii="仿宋" w:hAnsi="仿宋" w:eastAsia="仿宋" w:cs="仿宋"/>
          <w:szCs w:val="32"/>
          <w:highlight w:val="none"/>
        </w:rPr>
        <w:t>；施工期产生的废水和固体废弃物须集中收集后统一处置，不得外排。</w:t>
      </w:r>
    </w:p>
    <w:p w14:paraId="085BFA7E">
      <w:pPr>
        <w:pStyle w:val="3"/>
        <w:spacing w:line="560" w:lineRule="exact"/>
        <w:ind w:firstLine="640"/>
        <w:rPr>
          <w:rFonts w:hint="eastAsia" w:ascii="仿宋" w:hAnsi="仿宋" w:eastAsia="仿宋" w:cs="仿宋"/>
          <w:szCs w:val="32"/>
          <w:highlight w:val="none"/>
        </w:rPr>
      </w:pPr>
      <w:r>
        <w:rPr>
          <w:rFonts w:hint="eastAsia" w:ascii="仿宋" w:hAnsi="仿宋" w:eastAsia="仿宋" w:cs="仿宋"/>
          <w:szCs w:val="32"/>
          <w:highlight w:val="none"/>
        </w:rPr>
        <w:t>2.认真落实《报告书》中提出的大气污染防治措施。</w:t>
      </w:r>
    </w:p>
    <w:p w14:paraId="1F3521E9">
      <w:pPr>
        <w:spacing w:line="560" w:lineRule="exact"/>
        <w:ind w:firstLine="640"/>
        <w:rPr>
          <w:rFonts w:ascii="仿宋" w:hAnsi="仿宋" w:eastAsia="仿宋" w:cs="仿宋"/>
          <w:szCs w:val="32"/>
          <w:highlight w:val="none"/>
        </w:rPr>
      </w:pPr>
      <w:r>
        <w:rPr>
          <w:rFonts w:hint="eastAsia" w:ascii="仿宋" w:hAnsi="仿宋" w:eastAsia="仿宋" w:cs="仿宋"/>
          <w:szCs w:val="32"/>
          <w:highlight w:val="none"/>
        </w:rPr>
        <w:t>抽真空废气依托甲醇项目DFTO直燃炉燃烧处理后通过100米排气筒排放，含硫废气依托气化工艺变更项目硫回收设施“二级克劳斯+热动锅炉掺烧”处理后通过180米排气筒排放，PSA提氢解析气作为加热炉部分燃料燃烧，加热炉烟气采用低氮燃烧，经40米排气筒排放，罐区废气采取水洗塔+冷凝+活性炭吸附+催化氧化措施处理后通过15米排气筒排放。热动锅炉产生的氮氧化物、二氧化硫、烟尘排放按照企业承诺执行《全面实施燃煤电超低排放和节能改造工作方案》</w:t>
      </w:r>
      <w:r>
        <w:rPr>
          <w:rFonts w:ascii="仿宋" w:hAnsi="仿宋" w:eastAsia="仿宋" w:cs="仿宋"/>
          <w:szCs w:val="32"/>
          <w:highlight w:val="none"/>
        </w:rPr>
        <w:t>(</w:t>
      </w:r>
      <w:r>
        <w:rPr>
          <w:rFonts w:hint="eastAsia" w:ascii="仿宋" w:hAnsi="仿宋" w:eastAsia="仿宋" w:cs="仿宋"/>
          <w:szCs w:val="32"/>
          <w:highlight w:val="none"/>
        </w:rPr>
        <w:t>环发〔</w:t>
      </w:r>
      <w:r>
        <w:rPr>
          <w:rFonts w:ascii="仿宋" w:hAnsi="仿宋" w:eastAsia="仿宋" w:cs="仿宋"/>
          <w:szCs w:val="32"/>
          <w:highlight w:val="none"/>
        </w:rPr>
        <w:t>2015</w:t>
      </w:r>
      <w:r>
        <w:rPr>
          <w:rFonts w:hint="eastAsia" w:ascii="仿宋" w:hAnsi="仿宋" w:eastAsia="仿宋" w:cs="仿宋"/>
          <w:szCs w:val="32"/>
          <w:highlight w:val="none"/>
        </w:rPr>
        <w:t>〕</w:t>
      </w:r>
      <w:r>
        <w:rPr>
          <w:rFonts w:ascii="仿宋" w:hAnsi="仿宋" w:eastAsia="仿宋" w:cs="仿宋"/>
          <w:szCs w:val="32"/>
          <w:highlight w:val="none"/>
        </w:rPr>
        <w:t>7164</w:t>
      </w:r>
      <w:r>
        <w:rPr>
          <w:rFonts w:hint="eastAsia" w:ascii="仿宋" w:hAnsi="仿宋" w:eastAsia="仿宋" w:cs="仿宋"/>
          <w:szCs w:val="32"/>
          <w:highlight w:val="none"/>
        </w:rPr>
        <w:t>号文</w:t>
      </w:r>
      <w:r>
        <w:rPr>
          <w:rFonts w:ascii="仿宋" w:hAnsi="仿宋" w:eastAsia="仿宋" w:cs="仿宋"/>
          <w:szCs w:val="32"/>
          <w:highlight w:val="none"/>
        </w:rPr>
        <w:t>)</w:t>
      </w:r>
      <w:r>
        <w:rPr>
          <w:rFonts w:hint="eastAsia" w:ascii="仿宋" w:hAnsi="仿宋" w:eastAsia="仿宋" w:cs="仿宋"/>
          <w:szCs w:val="32"/>
          <w:highlight w:val="none"/>
        </w:rPr>
        <w:t>中超低排放标准；加热炉、</w:t>
      </w:r>
      <w:r>
        <w:rPr>
          <w:rFonts w:ascii="仿宋" w:hAnsi="仿宋" w:eastAsia="仿宋" w:cs="仿宋"/>
          <w:szCs w:val="32"/>
          <w:highlight w:val="none"/>
        </w:rPr>
        <w:t>DFTO</w:t>
      </w:r>
      <w:r>
        <w:rPr>
          <w:rFonts w:hint="eastAsia" w:ascii="仿宋" w:hAnsi="仿宋" w:eastAsia="仿宋" w:cs="仿宋"/>
          <w:szCs w:val="32"/>
          <w:highlight w:val="none"/>
        </w:rPr>
        <w:t>产生的二氧化硫、氮氧化物、非甲烷总烃排放须满足《石油化学工业污染物排放标准》（</w:t>
      </w:r>
      <w:r>
        <w:rPr>
          <w:rFonts w:ascii="仿宋" w:hAnsi="仿宋" w:eastAsia="仿宋" w:cs="仿宋"/>
          <w:szCs w:val="32"/>
          <w:highlight w:val="none"/>
        </w:rPr>
        <w:t>GB31571-2015</w:t>
      </w:r>
      <w:r>
        <w:rPr>
          <w:rFonts w:hint="eastAsia" w:ascii="仿宋" w:hAnsi="仿宋" w:eastAsia="仿宋" w:cs="仿宋"/>
          <w:szCs w:val="32"/>
          <w:highlight w:val="none"/>
        </w:rPr>
        <w:t>）中相应限值要求。苯、甲苯、二甲苯排放须满足《石油化学工业污染物排放标准》（</w:t>
      </w:r>
      <w:r>
        <w:rPr>
          <w:rFonts w:ascii="仿宋" w:hAnsi="仿宋" w:eastAsia="仿宋" w:cs="仿宋"/>
          <w:szCs w:val="32"/>
          <w:highlight w:val="none"/>
        </w:rPr>
        <w:t>GB31571-2015</w:t>
      </w:r>
      <w:r>
        <w:rPr>
          <w:rFonts w:hint="eastAsia" w:ascii="仿宋" w:hAnsi="仿宋" w:eastAsia="仿宋" w:cs="仿宋"/>
          <w:szCs w:val="32"/>
          <w:highlight w:val="none"/>
        </w:rPr>
        <w:t>）中表</w:t>
      </w:r>
      <w:r>
        <w:rPr>
          <w:rFonts w:ascii="仿宋" w:hAnsi="仿宋" w:eastAsia="仿宋" w:cs="仿宋"/>
          <w:szCs w:val="32"/>
          <w:highlight w:val="none"/>
        </w:rPr>
        <w:t>6</w:t>
      </w:r>
      <w:r>
        <w:rPr>
          <w:rFonts w:hint="eastAsia" w:ascii="仿宋" w:hAnsi="仿宋" w:eastAsia="仿宋" w:cs="仿宋"/>
          <w:szCs w:val="32"/>
          <w:highlight w:val="none"/>
        </w:rPr>
        <w:t>排放限值要求；硫化氢、氨排放速率执行《恶臭污染物排放标准》（</w:t>
      </w:r>
      <w:r>
        <w:rPr>
          <w:rFonts w:ascii="仿宋" w:hAnsi="仿宋" w:eastAsia="仿宋" w:cs="仿宋"/>
          <w:szCs w:val="32"/>
          <w:highlight w:val="none"/>
        </w:rPr>
        <w:t>GB14554-93</w:t>
      </w:r>
      <w:r>
        <w:rPr>
          <w:rFonts w:hint="eastAsia" w:ascii="仿宋" w:hAnsi="仿宋" w:eastAsia="仿宋" w:cs="仿宋"/>
          <w:szCs w:val="32"/>
          <w:highlight w:val="none"/>
        </w:rPr>
        <w:t>）表</w:t>
      </w:r>
      <w:r>
        <w:rPr>
          <w:rFonts w:ascii="仿宋" w:hAnsi="仿宋" w:eastAsia="仿宋" w:cs="仿宋"/>
          <w:szCs w:val="32"/>
          <w:highlight w:val="none"/>
        </w:rPr>
        <w:t>2</w:t>
      </w:r>
      <w:r>
        <w:rPr>
          <w:rFonts w:hint="eastAsia" w:ascii="仿宋" w:hAnsi="仿宋" w:eastAsia="仿宋" w:cs="仿宋"/>
          <w:szCs w:val="32"/>
          <w:highlight w:val="none"/>
        </w:rPr>
        <w:t>排放限值，氨排放浓度参照执行《氨法烟气脱硫工程通用技术规范》。</w:t>
      </w:r>
    </w:p>
    <w:p w14:paraId="24B8C570">
      <w:pPr>
        <w:spacing w:line="560" w:lineRule="exact"/>
        <w:ind w:firstLine="640"/>
        <w:rPr>
          <w:rFonts w:ascii="仿宋_GB2312" w:hAnsi="仿宋_GB2312" w:cs="仿宋_GB2312"/>
          <w:highlight w:val="none"/>
        </w:rPr>
      </w:pPr>
      <w:r>
        <w:rPr>
          <w:rFonts w:hint="eastAsia" w:ascii="仿宋" w:hAnsi="仿宋" w:eastAsia="仿宋" w:cs="仿宋"/>
          <w:szCs w:val="32"/>
          <w:highlight w:val="none"/>
        </w:rPr>
        <w:t>采用</w:t>
      </w:r>
      <w:r>
        <w:rPr>
          <w:rFonts w:hint="eastAsia" w:ascii="仿宋_GB2312" w:hAnsi="仿宋_GB2312" w:cs="仿宋_GB2312"/>
          <w:highlight w:val="none"/>
        </w:rPr>
        <w:t>物料全封闭储存，转移、输送过程采用管道输送，罐区设置水洗塔+冷凝+活性炭吸附+催化氧化处理废气减少无组织排放，无组织苯、甲苯、二甲苯、非甲烷总烃满足《石油化学工业污染物排放标准》（GB31571-2015）表7限值。</w:t>
      </w:r>
    </w:p>
    <w:p w14:paraId="5F7B31E0">
      <w:pPr>
        <w:spacing w:line="560" w:lineRule="exact"/>
        <w:ind w:firstLine="640"/>
        <w:rPr>
          <w:rFonts w:hint="eastAsia" w:ascii="仿宋" w:hAnsi="仿宋" w:eastAsia="仿宋" w:cs="仿宋"/>
          <w:highlight w:val="none"/>
        </w:rPr>
      </w:pPr>
      <w:r>
        <w:rPr>
          <w:rFonts w:hint="eastAsia" w:ascii="仿宋_GB2312" w:hAnsi="仿宋_GB2312" w:cs="仿宋_GB2312"/>
          <w:highlight w:val="none"/>
        </w:rPr>
        <w:t>3.</w:t>
      </w:r>
      <w:r>
        <w:rPr>
          <w:rFonts w:hint="eastAsia" w:ascii="仿宋" w:hAnsi="仿宋" w:eastAsia="仿宋" w:cs="仿宋"/>
          <w:szCs w:val="32"/>
          <w:highlight w:val="none"/>
        </w:rPr>
        <w:t>严格</w:t>
      </w:r>
      <w:r>
        <w:rPr>
          <w:rFonts w:hint="eastAsia" w:ascii="仿宋" w:hAnsi="仿宋" w:eastAsia="仿宋" w:cs="仿宋"/>
          <w:highlight w:val="none"/>
        </w:rPr>
        <w:t>落实各项水污染防治措施。生活污水、设备冲洗废水、真空泵废水、水洗塔废水、稀酚水以及酸性废水依托《10万吨/年液态阳光—二氧化碳加绿氢制甲醇技术示范项目》污水处理站，处理后的水及循环冷却废水排至《10万吨/年液态阳光—二氧化碳加绿氢制甲醇技术示范项目》回用水站进行除盐，回用水站处理后的水质满足《工业循环冷却水处理设计规范》（GB/T50050-2017）中“再生水用于间冷开式循环冷却水系统补充水”的水质指标，全部作为循环水补充水回用，不外排。</w:t>
      </w:r>
    </w:p>
    <w:p w14:paraId="14355690">
      <w:pPr>
        <w:pStyle w:val="12"/>
        <w:spacing w:line="560" w:lineRule="exact"/>
        <w:ind w:left="0" w:leftChars="0" w:firstLine="640" w:firstLineChars="200"/>
        <w:rPr>
          <w:rFonts w:hint="eastAsia" w:ascii="仿宋" w:hAnsi="仿宋" w:eastAsia="仿宋" w:cs="仿宋"/>
          <w:highlight w:val="none"/>
        </w:rPr>
      </w:pPr>
      <w:r>
        <w:rPr>
          <w:rFonts w:hint="eastAsia" w:ascii="仿宋" w:hAnsi="仿宋" w:eastAsia="仿宋" w:cs="仿宋"/>
          <w:highlight w:val="none"/>
        </w:rPr>
        <w:t>4.严格落实土壤和地下水污染防治措施。项目</w:t>
      </w:r>
      <w:r>
        <w:rPr>
          <w:rFonts w:hint="eastAsia" w:ascii="仿宋_GB2312" w:hAnsi="仿宋_GB2312" w:cs="仿宋_GB2312"/>
          <w:kern w:val="0"/>
          <w:highlight w:val="none"/>
        </w:rPr>
        <w:t>采取分区防渗，全厂根据不同区域潜在地下水污染风险性大小划分为重点污染防治区、一般污染防治区和简单污染防治区。</w:t>
      </w:r>
      <w:r>
        <w:rPr>
          <w:rFonts w:hint="eastAsia" w:ascii="仿宋" w:hAnsi="仿宋" w:eastAsia="仿宋" w:cs="仿宋"/>
          <w:highlight w:val="none"/>
        </w:rPr>
        <w:t>加强防渗设施的日常维护，对出现损害的防渗设施应及时修复和加固，确保防渗设施牢固安全。建立完善的土壤和地下水跟踪监测制度，合理设置土壤和地下水监测点，确保及时发现并处理厂区渗漏情况。如发现土壤和地下水污染状况，应根据实际情况依法开展相关污染风险管控和修复，并及时采取有效措施避免污染加重和扩散。</w:t>
      </w:r>
    </w:p>
    <w:p w14:paraId="5D469346">
      <w:pPr>
        <w:adjustRightInd w:val="0"/>
        <w:snapToGrid w:val="0"/>
        <w:spacing w:line="560" w:lineRule="exact"/>
        <w:ind w:firstLine="640"/>
        <w:rPr>
          <w:rFonts w:hint="eastAsia" w:ascii="仿宋" w:hAnsi="仿宋" w:eastAsia="仿宋" w:cs="仿宋"/>
          <w:highlight w:val="none"/>
        </w:rPr>
      </w:pPr>
      <w:r>
        <w:rPr>
          <w:rFonts w:hint="eastAsia" w:ascii="仿宋" w:hAnsi="仿宋" w:eastAsia="仿宋" w:cs="仿宋"/>
          <w:highlight w:val="none"/>
        </w:rPr>
        <w:t>5.强化声环境保护措施，优先选用低噪声设备，采取减震、隔声、消声等降噪措施，确保厂界噪声满足《工业企业厂界环境噪声排放标准》(GB12348-2008)3类标准限值要求。</w:t>
      </w:r>
    </w:p>
    <w:p w14:paraId="778CD0C6">
      <w:pPr>
        <w:pStyle w:val="3"/>
        <w:spacing w:line="580" w:lineRule="exact"/>
        <w:ind w:firstLine="640"/>
        <w:rPr>
          <w:rFonts w:hint="eastAsia" w:ascii="仿宋" w:hAnsi="仿宋" w:eastAsia="仿宋" w:cs="仿宋"/>
          <w:szCs w:val="32"/>
          <w:highlight w:val="none"/>
        </w:rPr>
      </w:pPr>
      <w:r>
        <w:rPr>
          <w:rFonts w:hint="eastAsia" w:ascii="仿宋" w:hAnsi="仿宋" w:eastAsia="仿宋" w:cs="仿宋"/>
          <w:highlight w:val="none"/>
        </w:rPr>
        <w:t>6.根据《报告书》提出的固废污染防治措施，做好固体废物处置工作。建设单位须严格按照《一般工业固体废物贮存和填埋污染控制标准》(GB18599-2020)对一般固废处置。</w:t>
      </w:r>
      <w:r>
        <w:rPr>
          <w:rFonts w:hint="eastAsia" w:ascii="仿宋" w:hAnsi="仿宋" w:eastAsia="仿宋" w:cs="仿宋"/>
          <w:szCs w:val="32"/>
          <w:highlight w:val="none"/>
        </w:rPr>
        <w:t>危险废物依托</w:t>
      </w:r>
      <w:r>
        <w:rPr>
          <w:rFonts w:hint="eastAsia" w:ascii="仿宋" w:hAnsi="仿宋" w:eastAsia="仿宋" w:cs="仿宋"/>
          <w:highlight w:val="none"/>
        </w:rPr>
        <w:t>《10万吨/年液态阳光—二氧化碳加绿氢制甲醇技术示范项目》危废暂存间，本项目不新建</w:t>
      </w:r>
      <w:r>
        <w:rPr>
          <w:rFonts w:hint="eastAsia" w:ascii="仿宋" w:hAnsi="仿宋" w:eastAsia="仿宋" w:cs="仿宋"/>
          <w:szCs w:val="32"/>
          <w:highlight w:val="none"/>
        </w:rPr>
        <w:t>。</w:t>
      </w:r>
    </w:p>
    <w:p w14:paraId="70322ECB">
      <w:pPr>
        <w:pStyle w:val="3"/>
        <w:spacing w:line="580" w:lineRule="exact"/>
        <w:ind w:firstLine="640"/>
        <w:rPr>
          <w:rFonts w:ascii="仿宋_GB2312" w:hAnsi="仿宋_GB2312" w:cs="仿宋_GB2312"/>
          <w:color w:val="00B0F0"/>
          <w:szCs w:val="32"/>
          <w:highlight w:val="none"/>
        </w:rPr>
      </w:pPr>
      <w:r>
        <w:rPr>
          <w:rFonts w:hint="eastAsia" w:ascii="仿宋_GB2312" w:hAnsi="仿宋_GB2312" w:cs="仿宋_GB2312"/>
          <w:highlight w:val="none"/>
        </w:rPr>
        <w:t>粗苯过滤残渣、废过滤网、废保护催化剂、废预加氢催化剂、废主加氢催化剂、废吸附剂、废瓷球、废包装、废活性炭、废催化剂、废机油、废油桶、含油抹布</w:t>
      </w:r>
      <w:r>
        <w:rPr>
          <w:rFonts w:hint="eastAsia" w:ascii="仿宋_GB2312" w:hAnsi="仿宋_GB2312" w:cs="仿宋_GB2312"/>
          <w:szCs w:val="32"/>
          <w:highlight w:val="none"/>
        </w:rPr>
        <w:t>废物暂存库内贮存，定期委托有资质单位处理；</w:t>
      </w:r>
      <w:r>
        <w:rPr>
          <w:rFonts w:hint="eastAsia" w:ascii="仿宋_GB2312" w:hAnsi="仿宋_GB2312" w:cs="仿宋_GB2312"/>
          <w:highlight w:val="none"/>
        </w:rPr>
        <w:t>污苯罐收集污苯通过管道排至粗苯原料罐经静置水油隔离后，油相作为本项目原料，水相至低温甲醇洗。非芳烃储存于非芳烃储罐、重芳烃储存于重芳烃储罐，暂时按危废管理，实际生产后先进行产品鉴定，若满足产品要求，则按照产品进行售卖，若不满足产品质量标准则应按照国家规定的危险废物鉴别标准和鉴别方法予以认定，经鉴别具有危险特性的，属于危险废物，根据其主要有害成分和危险特性确定所属废物类别，代码进行归类管理，委托有资质单位处置；</w:t>
      </w:r>
      <w:r>
        <w:rPr>
          <w:rFonts w:hint="eastAsia" w:ascii="仿宋_GB2312" w:hAnsi="仿宋_GB2312" w:cs="仿宋_GB2312"/>
          <w:szCs w:val="32"/>
          <w:highlight w:val="none"/>
        </w:rPr>
        <w:t>生活垃圾在厂区内集中收集，委托当地环卫部门定期清理。</w:t>
      </w:r>
    </w:p>
    <w:p w14:paraId="503A0D1E">
      <w:pPr>
        <w:adjustRightInd w:val="0"/>
        <w:snapToGrid w:val="0"/>
        <w:spacing w:line="560" w:lineRule="exact"/>
        <w:ind w:firstLine="640"/>
        <w:rPr>
          <w:rFonts w:hint="eastAsia" w:ascii="仿宋" w:hAnsi="仿宋" w:eastAsia="仿宋" w:cs="仿宋"/>
          <w:szCs w:val="32"/>
          <w:highlight w:val="none"/>
        </w:rPr>
      </w:pPr>
      <w:r>
        <w:rPr>
          <w:rFonts w:hint="eastAsia" w:ascii="仿宋" w:hAnsi="仿宋" w:eastAsia="仿宋" w:cs="仿宋"/>
          <w:szCs w:val="32"/>
          <w:highlight w:val="none"/>
        </w:rPr>
        <w:t>7.建设单位须强化环境风险防范，落实环保设施安全生产要求，项目污染防治设施须与主体工程一起按照安全生产要求设计，有效防范因污染物事故排放或安全生产事故可能引发的环境风险。</w:t>
      </w:r>
    </w:p>
    <w:p w14:paraId="5E161CFA">
      <w:pPr>
        <w:adjustRightInd w:val="0"/>
        <w:snapToGrid w:val="0"/>
        <w:spacing w:line="560" w:lineRule="exact"/>
        <w:ind w:firstLine="640"/>
        <w:rPr>
          <w:rFonts w:hint="eastAsia" w:ascii="仿宋" w:hAnsi="仿宋" w:eastAsia="仿宋" w:cs="仿宋"/>
          <w:szCs w:val="32"/>
          <w:highlight w:val="none"/>
        </w:rPr>
      </w:pPr>
      <w:r>
        <w:rPr>
          <w:rFonts w:hint="eastAsia" w:ascii="仿宋" w:hAnsi="仿宋" w:eastAsia="仿宋" w:cs="仿宋"/>
          <w:szCs w:val="32"/>
          <w:highlight w:val="none"/>
        </w:rPr>
        <w:t>三、乌审旗人民政府必须严格《乌审旗人民政府关于中煤鄂尔多斯能源化工有限公司图克厂区地下水污染治理承诺的报告》（乌政字</w:t>
      </w:r>
      <w:r>
        <w:rPr>
          <w:rFonts w:eastAsia="仿宋"/>
          <w:szCs w:val="20"/>
          <w:highlight w:val="none"/>
        </w:rPr>
        <w:t>〔202</w:t>
      </w:r>
      <w:r>
        <w:rPr>
          <w:rFonts w:hint="eastAsia" w:eastAsia="仿宋"/>
          <w:szCs w:val="20"/>
          <w:highlight w:val="none"/>
        </w:rPr>
        <w:t>4</w:t>
      </w:r>
      <w:r>
        <w:rPr>
          <w:rFonts w:eastAsia="仿宋"/>
          <w:szCs w:val="20"/>
          <w:highlight w:val="none"/>
        </w:rPr>
        <w:t>〕</w:t>
      </w:r>
      <w:r>
        <w:rPr>
          <w:rFonts w:hint="eastAsia" w:eastAsia="仿宋"/>
          <w:szCs w:val="20"/>
          <w:highlight w:val="none"/>
        </w:rPr>
        <w:t>58号</w:t>
      </w:r>
      <w:r>
        <w:rPr>
          <w:rFonts w:hint="eastAsia" w:ascii="仿宋" w:hAnsi="仿宋" w:eastAsia="仿宋" w:cs="仿宋"/>
          <w:szCs w:val="32"/>
          <w:highlight w:val="none"/>
        </w:rPr>
        <w:t>），确保在2024年底完成污染源调查，2025年6月底实现断源有效管控。若承诺期内没有完成整改，该项目必须立即停止建设，依法启动环评批复撤销程序；若承诺期完成整改，建设单位必须严格执行环境保护“三同时”制度，工程竣工后，须按照规定程序实施竣工环境保护验收。</w:t>
      </w:r>
      <w:r>
        <w:rPr>
          <w:rFonts w:hint="eastAsia" w:ascii="仿宋" w:hAnsi="仿宋" w:eastAsia="仿宋" w:cs="仿宋"/>
          <w:szCs w:val="32"/>
          <w:highlight w:val="none"/>
          <w:lang w:val="zh-CN"/>
        </w:rPr>
        <w:t>项目验收后满5年，应组织开展环境影响后评价，按要求开展生态环境保护措施安全风险评估和隐患排查治理。</w:t>
      </w:r>
    </w:p>
    <w:p w14:paraId="11627DF0">
      <w:pPr>
        <w:adjustRightInd w:val="0"/>
        <w:snapToGrid w:val="0"/>
        <w:spacing w:line="560" w:lineRule="exact"/>
        <w:ind w:firstLine="640"/>
        <w:rPr>
          <w:rFonts w:hint="eastAsia" w:ascii="仿宋" w:hAnsi="仿宋" w:eastAsia="仿宋" w:cs="仿宋"/>
          <w:szCs w:val="32"/>
          <w:highlight w:val="none"/>
        </w:rPr>
      </w:pPr>
      <w:r>
        <w:rPr>
          <w:rFonts w:hint="eastAsia" w:ascii="仿宋" w:hAnsi="仿宋" w:eastAsia="仿宋" w:cs="仿宋"/>
          <w:szCs w:val="32"/>
          <w:highlight w:val="none"/>
        </w:rPr>
        <w:t>四、你公司应在收到本批复20日内，将《报告书》(报批版)及批复文件送至鄂尔多斯市生态环境局乌审旗分局,我局委托鄂尔多斯市生态环境局乌审旗分局负责该项目的日常监管工作。</w:t>
      </w:r>
    </w:p>
    <w:p w14:paraId="0A860EDF">
      <w:pPr>
        <w:adjustRightInd w:val="0"/>
        <w:snapToGrid w:val="0"/>
        <w:spacing w:line="560" w:lineRule="exact"/>
        <w:ind w:firstLine="640"/>
        <w:rPr>
          <w:rFonts w:hint="eastAsia" w:ascii="仿宋" w:hAnsi="仿宋" w:eastAsia="仿宋" w:cs="仿宋"/>
          <w:szCs w:val="32"/>
          <w:highlight w:val="none"/>
        </w:rPr>
      </w:pPr>
      <w:r>
        <w:rPr>
          <w:rFonts w:hint="eastAsia" w:ascii="仿宋" w:hAnsi="仿宋" w:eastAsia="仿宋" w:cs="仿宋"/>
          <w:szCs w:val="32"/>
          <w:highlight w:val="none"/>
        </w:rPr>
        <w:t>五、该项目从批准之日起超过5年方决定开工建设，其环评文件应重新审核。如果项目建设地点、规模、工艺、防治污染和防止生态破坏的措施等发生重大变化时，需重新报批环评文件。</w:t>
      </w:r>
    </w:p>
    <w:p w14:paraId="53F53AB5">
      <w:pPr>
        <w:adjustRightInd w:val="0"/>
        <w:snapToGrid w:val="0"/>
        <w:spacing w:line="560" w:lineRule="exact"/>
        <w:ind w:firstLine="640"/>
        <w:rPr>
          <w:rFonts w:hint="eastAsia" w:ascii="仿宋" w:hAnsi="仿宋" w:eastAsia="仿宋" w:cs="仿宋"/>
          <w:szCs w:val="32"/>
          <w:highlight w:val="none"/>
        </w:rPr>
      </w:pPr>
    </w:p>
    <w:p w14:paraId="01DA065A">
      <w:pPr>
        <w:spacing w:line="560" w:lineRule="exact"/>
        <w:ind w:firstLine="640"/>
        <w:rPr>
          <w:rFonts w:hint="eastAsia" w:ascii="仿宋" w:hAnsi="仿宋" w:eastAsia="仿宋" w:cs="仿宋"/>
          <w:highlight w:val="none"/>
        </w:rPr>
      </w:pPr>
    </w:p>
    <w:p w14:paraId="243260F2">
      <w:pPr>
        <w:adjustRightInd w:val="0"/>
        <w:snapToGrid w:val="0"/>
        <w:spacing w:line="560" w:lineRule="exact"/>
        <w:ind w:firstLine="640"/>
        <w:jc w:val="center"/>
        <w:rPr>
          <w:rFonts w:hint="eastAsia" w:ascii="仿宋" w:hAnsi="仿宋" w:eastAsia="仿宋" w:cs="仿宋"/>
          <w:szCs w:val="32"/>
          <w:highlight w:val="none"/>
        </w:rPr>
      </w:pPr>
      <w:r>
        <w:rPr>
          <w:rFonts w:hint="eastAsia" w:ascii="仿宋" w:hAnsi="仿宋" w:eastAsia="仿宋" w:cs="仿宋"/>
          <w:szCs w:val="32"/>
          <w:highlight w:val="none"/>
        </w:rPr>
        <w:t xml:space="preserve">                      鄂尔多斯市生态环境局</w:t>
      </w:r>
    </w:p>
    <w:p w14:paraId="3BBDEAE0">
      <w:pPr>
        <w:adjustRightInd w:val="0"/>
        <w:snapToGrid w:val="0"/>
        <w:spacing w:line="560" w:lineRule="exact"/>
        <w:ind w:right="640" w:firstLine="640"/>
        <w:jc w:val="center"/>
        <w:rPr>
          <w:rFonts w:hint="eastAsia" w:ascii="仿宋" w:hAnsi="仿宋" w:eastAsia="仿宋" w:cs="仿宋"/>
          <w:szCs w:val="32"/>
          <w:highlight w:val="none"/>
        </w:rPr>
      </w:pPr>
      <w:r>
        <w:rPr>
          <w:rFonts w:hint="eastAsia" w:ascii="仿宋" w:hAnsi="仿宋" w:eastAsia="仿宋" w:cs="仿宋"/>
          <w:szCs w:val="32"/>
          <w:highlight w:val="none"/>
        </w:rPr>
        <w:t xml:space="preserve">                          2024年9月4日</w:t>
      </w:r>
    </w:p>
    <w:p w14:paraId="7FE85E60">
      <w:pPr>
        <w:pStyle w:val="12"/>
        <w:ind w:left="640" w:hanging="320"/>
        <w:rPr>
          <w:rFonts w:hint="eastAsia" w:ascii="仿宋" w:hAnsi="仿宋" w:eastAsia="仿宋" w:cs="仿宋"/>
          <w:szCs w:val="32"/>
          <w:highlight w:val="none"/>
        </w:rPr>
      </w:pPr>
    </w:p>
    <w:p w14:paraId="10798243">
      <w:pPr>
        <w:ind w:firstLine="640"/>
        <w:rPr>
          <w:rFonts w:hint="eastAsia" w:ascii="仿宋" w:hAnsi="仿宋" w:eastAsia="仿宋" w:cs="仿宋"/>
          <w:szCs w:val="32"/>
          <w:highlight w:val="none"/>
        </w:rPr>
      </w:pPr>
    </w:p>
    <w:p w14:paraId="208701B5">
      <w:pPr>
        <w:pStyle w:val="12"/>
        <w:spacing w:line="600" w:lineRule="exact"/>
        <w:ind w:left="640" w:hanging="320"/>
        <w:rPr>
          <w:rFonts w:hint="eastAsia" w:ascii="仿宋" w:hAnsi="仿宋" w:eastAsia="仿宋" w:cs="仿宋"/>
          <w:szCs w:val="32"/>
          <w:highlight w:val="none"/>
        </w:rPr>
      </w:pPr>
    </w:p>
    <w:p w14:paraId="76594D86">
      <w:pPr>
        <w:pStyle w:val="13"/>
        <w:spacing w:line="600" w:lineRule="exact"/>
        <w:ind w:firstLine="0" w:firstLineChars="0"/>
        <w:rPr>
          <w:highlight w:val="none"/>
        </w:rPr>
      </w:pPr>
    </w:p>
    <w:p w14:paraId="5B00068A">
      <w:pPr>
        <w:pStyle w:val="13"/>
        <w:spacing w:line="600" w:lineRule="exact"/>
        <w:ind w:firstLine="0" w:firstLineChars="0"/>
        <w:rPr>
          <w:highlight w:val="none"/>
        </w:rPr>
      </w:pPr>
    </w:p>
    <w:p w14:paraId="5C5BC708">
      <w:pPr>
        <w:pStyle w:val="2"/>
        <w:spacing w:line="600" w:lineRule="exact"/>
        <w:ind w:firstLine="0" w:firstLineChars="0"/>
        <w:rPr>
          <w:highlight w:val="none"/>
        </w:rPr>
      </w:pPr>
    </w:p>
    <w:p w14:paraId="76B268D1">
      <w:pPr>
        <w:rPr>
          <w:highlight w:val="none"/>
        </w:rPr>
      </w:pPr>
    </w:p>
    <w:p w14:paraId="47EF703F">
      <w:pPr>
        <w:ind w:firstLine="0" w:firstLineChars="0"/>
        <w:rPr>
          <w:highlight w:val="none"/>
        </w:rPr>
      </w:pPr>
    </w:p>
    <w:p w14:paraId="47B201C5">
      <w:pPr>
        <w:spacing w:line="500" w:lineRule="exact"/>
        <w:ind w:left="1280" w:hanging="1280" w:hangingChars="400"/>
        <w:rPr>
          <w:rFonts w:hint="eastAsia" w:ascii="仿宋" w:hAnsi="仿宋" w:eastAsia="仿宋" w:cs="仿宋"/>
          <w:sz w:val="28"/>
          <w:szCs w:val="28"/>
          <w:highlight w:val="none"/>
        </w:rPr>
      </w:pPr>
      <w:r>
        <w:rPr>
          <w:rFonts w:hint="eastAsia" w:ascii="仿宋" w:hAnsi="仿宋" w:eastAsia="仿宋" w:cs="仿宋"/>
          <w:highlight w:val="none"/>
        </w:rPr>
        <w:t xml:space="preserve"> </w:t>
      </w:r>
      <w:r>
        <w:rPr>
          <w:rFonts w:hint="eastAsia" w:ascii="仿宋" w:hAnsi="仿宋" w:eastAsia="仿宋" w:cs="仿宋"/>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68769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769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8pt;height:0.05pt;width:447.85pt;z-index:251659264;mso-width-relative:page;mso-height-relative:page;" filled="f" stroked="t" coordsize="21600,21600" o:gfxdata="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bb&#10;vtQAAAAEAQAADwAAAAAAAAABACAAAAAiAAAAZHJzL2Rvd25yZXYueG1sUEsBAhQAFAAAAAgAh07i&#10;QI5CyE7tAQAA2gMAAA4AAAAAAAAAAQAgAAAAIw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sz w:val="28"/>
          <w:szCs w:val="28"/>
          <w:highlight w:val="none"/>
        </w:rPr>
        <w:t>抄送：乌审旗人民政府、鄂尔多斯市生态环境局乌审旗分局，市生态环境综合行政执法支队，</w:t>
      </w:r>
      <w:r>
        <w:rPr>
          <w:rFonts w:eastAsia="仿宋"/>
          <w:sz w:val="28"/>
          <w:szCs w:val="28"/>
          <w:highlight w:val="none"/>
        </w:rPr>
        <w:t>市生态环境局综合保障中心</w:t>
      </w:r>
      <w:r>
        <w:rPr>
          <w:rFonts w:hint="eastAsia" w:eastAsia="仿宋"/>
          <w:sz w:val="28"/>
          <w:szCs w:val="28"/>
          <w:highlight w:val="none"/>
        </w:rPr>
        <w:t>，东科建设有限公司</w:t>
      </w:r>
      <w:r>
        <w:rPr>
          <w:rFonts w:hint="eastAsia" w:ascii="仿宋" w:hAnsi="仿宋" w:eastAsia="仿宋" w:cs="仿宋"/>
          <w:sz w:val="28"/>
          <w:szCs w:val="28"/>
          <w:highlight w:val="none"/>
        </w:rPr>
        <w:t>。</w:t>
      </w:r>
    </w:p>
    <w:p w14:paraId="12FAB717">
      <w:pPr>
        <w:spacing w:line="400" w:lineRule="exact"/>
        <w:ind w:firstLine="0" w:firstLineChars="0"/>
        <w:rPr>
          <w:rFonts w:hint="eastAsia" w:ascii="仿宋" w:hAnsi="仿宋" w:eastAsia="仿宋" w:cs="仿宋"/>
          <w:highlight w:val="none"/>
        </w:rPr>
      </w:pPr>
      <w:r>
        <w:rPr>
          <w:rFonts w:hint="eastAsia" w:ascii="仿宋" w:hAnsi="仿宋" w:eastAsia="仿宋" w:cs="仿宋"/>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297180</wp:posOffset>
                </wp:positionV>
                <wp:extent cx="568769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5pt;margin-top:23.4pt;height:0.05pt;width:447.85pt;z-index:251661312;mso-width-relative:page;mso-height-relative:page;" filled="f" stroked="t" coordsize="21600,21600" o:gfxdata="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mbX&#10;wNUAAAAHAQAADwAAAAAAAAABACAAAAAiAAAAZHJzL2Rvd25yZXYueG1sUEsBAhQAFAAAAAgAh07i&#10;QOta05LsAQAA2gMAAA4AAAAAAAAAAQAgAAAAJA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sz w:val="28"/>
          <w:szCs w:val="28"/>
          <w:highlight w:val="none"/>
        </w:rPr>
        <w:t>鄂尔多斯市生态环境局                       2024年9月4日印发</w:t>
      </w:r>
      <w:r>
        <w:rPr>
          <w:rFonts w:hint="eastAsia" w:ascii="仿宋" w:hAnsi="仿宋" w:eastAsia="仿宋" w:cs="仿宋"/>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568769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769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6pt;height:0.05pt;width:447.85pt;z-index:251660288;mso-width-relative:page;mso-height-relative:page;" filled="f" stroked="t" coordsize="21600,21600" o:gfxdata="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dblKnT&#10;AAAABAEAAA8AAAAAAAAAAQAgAAAAIgAAAGRycy9kb3ducmV2LnhtbFBLAQIUABQAAAAIAIdO4kBg&#10;bJTx7AEAANoDAAAOAAAAAAAAAAEAIAAAACIBAABkcnMvZTJvRG9jLnhtbFBLBQYAAAAABgAGAFkB&#10;AACABQAAAAA=&#10;">
                <v:fill on="f" focussize="0,0"/>
                <v:stroke color="#000000" joinstyle="round"/>
                <v:imagedata o:title=""/>
                <o:lock v:ext="edit" aspectratio="f"/>
              </v:line>
            </w:pict>
          </mc:Fallback>
        </mc:AlternateConten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588" w:left="1531"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C76F9">
    <w:pPr>
      <w:pStyle w:val="10"/>
      <w:tabs>
        <w:tab w:val="clear" w:pos="4153"/>
        <w:tab w:val="clear" w:pos="8306"/>
      </w:tabs>
      <w:ind w:firstLine="560"/>
      <w:jc w:val="right"/>
      <w:rPr>
        <w:rFonts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3 -</w:t>
    </w:r>
    <w:r>
      <w:rPr>
        <w:rFonts w:hint="eastAsia"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1593A">
    <w:pPr>
      <w:pStyle w:val="10"/>
      <w:tabs>
        <w:tab w:val="clear" w:pos="4153"/>
        <w:tab w:val="clear" w:pos="8306"/>
      </w:tabs>
      <w:ind w:firstLine="560"/>
      <w:rPr>
        <w:rFonts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2 -</w:t>
    </w:r>
    <w:r>
      <w:rPr>
        <w:rFonts w:hint="eastAsia"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67697">
    <w:pPr>
      <w:pStyle w:val="10"/>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FA7C4">
    <w:pPr>
      <w:pStyle w:val="11"/>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20E7A">
    <w:pPr>
      <w:pStyle w:val="11"/>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88A17">
    <w:pPr>
      <w:pStyle w:val="11"/>
      <w:pBdr>
        <w:bottom w:val="none" w:color="auto" w:sz="0" w:space="0"/>
      </w:pBdr>
      <w:tabs>
        <w:tab w:val="clear" w:pos="4153"/>
        <w:tab w:val="clear" w:pos="8306"/>
      </w:tabs>
      <w:ind w:firstLine="360"/>
    </w:pPr>
  </w:p>
  <w:p w14:paraId="449685E9">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NjM3ZDkwOWYwOWZjYTFmMWUzNjdmNGE3MDk0MTQifQ=="/>
  </w:docVars>
  <w:rsids>
    <w:rsidRoot w:val="2E9573FC"/>
    <w:rsid w:val="00062D66"/>
    <w:rsid w:val="000E64D1"/>
    <w:rsid w:val="002353FD"/>
    <w:rsid w:val="004A54A0"/>
    <w:rsid w:val="0051326E"/>
    <w:rsid w:val="00557DBA"/>
    <w:rsid w:val="00623D47"/>
    <w:rsid w:val="00691A41"/>
    <w:rsid w:val="00A674AC"/>
    <w:rsid w:val="00AC6A5E"/>
    <w:rsid w:val="00D628CE"/>
    <w:rsid w:val="00DC0F83"/>
    <w:rsid w:val="00E24CAB"/>
    <w:rsid w:val="00EC75E6"/>
    <w:rsid w:val="021E2487"/>
    <w:rsid w:val="0FC96226"/>
    <w:rsid w:val="27626DC2"/>
    <w:rsid w:val="2E9573FC"/>
    <w:rsid w:val="390414E4"/>
    <w:rsid w:val="3AEF2C7A"/>
    <w:rsid w:val="3C7C2C26"/>
    <w:rsid w:val="52F80BAD"/>
    <w:rsid w:val="6C352984"/>
    <w:rsid w:val="7DCA0580"/>
    <w:rsid w:val="7FE27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style>
  <w:style w:type="paragraph" w:styleId="4">
    <w:name w:val="Body Text First Indent 2"/>
    <w:basedOn w:val="5"/>
    <w:next w:val="1"/>
    <w:unhideWhenUsed/>
    <w:qFormat/>
    <w:uiPriority w:val="99"/>
    <w:pPr>
      <w:spacing w:after="120" w:line="240" w:lineRule="auto"/>
      <w:ind w:left="420" w:leftChars="200" w:firstLine="420"/>
    </w:pPr>
    <w:rPr>
      <w:sz w:val="21"/>
    </w:rPr>
  </w:style>
  <w:style w:type="paragraph" w:styleId="5">
    <w:name w:val="Body Text Indent"/>
    <w:basedOn w:val="1"/>
    <w:next w:val="1"/>
    <w:qFormat/>
    <w:uiPriority w:val="0"/>
    <w:pPr>
      <w:keepNext/>
      <w:spacing w:line="360" w:lineRule="auto"/>
    </w:pPr>
    <w:rPr>
      <w:rFonts w:eastAsia="宋体"/>
      <w:sz w:val="24"/>
    </w:rPr>
  </w:style>
  <w:style w:type="paragraph" w:styleId="6">
    <w:name w:val="annotation text"/>
    <w:basedOn w:val="1"/>
    <w:unhideWhenUsed/>
    <w:qFormat/>
    <w:uiPriority w:val="99"/>
    <w:pPr>
      <w:jc w:val="left"/>
    </w:pPr>
  </w:style>
  <w:style w:type="paragraph" w:styleId="7">
    <w:name w:val="Body Text"/>
    <w:basedOn w:val="1"/>
    <w:next w:val="8"/>
    <w:qFormat/>
    <w:uiPriority w:val="0"/>
    <w:pPr>
      <w:spacing w:after="120"/>
    </w:pPr>
  </w:style>
  <w:style w:type="paragraph" w:customStyle="1" w:styleId="8">
    <w:name w:val="文本"/>
    <w:basedOn w:val="9"/>
    <w:qFormat/>
    <w:uiPriority w:val="0"/>
    <w:pPr>
      <w:spacing w:line="288" w:lineRule="auto"/>
    </w:pPr>
    <w:rPr>
      <w:szCs w:val="24"/>
    </w:rPr>
  </w:style>
  <w:style w:type="paragraph" w:customStyle="1" w:styleId="9">
    <w:name w:val="[1]正文"/>
    <w:basedOn w:val="1"/>
    <w:qFormat/>
    <w:uiPriority w:val="0"/>
    <w:pPr>
      <w:widowControl/>
      <w:snapToGrid w:val="0"/>
      <w:spacing w:line="360" w:lineRule="auto"/>
      <w:jc w:val="left"/>
    </w:pPr>
    <w:rPr>
      <w:rFonts w:ascii="Calibri" w:hAnsi="Calibri"/>
      <w:kern w:val="0"/>
      <w:sz w:val="24"/>
      <w:szCs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tabs>
        <w:tab w:val="right" w:leader="dot" w:pos="8494"/>
      </w:tabs>
      <w:spacing w:line="360" w:lineRule="auto"/>
      <w:ind w:left="420" w:leftChars="100" w:hanging="210" w:hangingChars="100"/>
    </w:pPr>
  </w:style>
  <w:style w:type="paragraph" w:styleId="13">
    <w:name w:val="Body Text First Indent"/>
    <w:basedOn w:val="7"/>
    <w:next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2759</Words>
  <Characters>2925</Characters>
  <Lines>21</Lines>
  <Paragraphs>6</Paragraphs>
  <TotalTime>25</TotalTime>
  <ScaleCrop>false</ScaleCrop>
  <LinksUpToDate>false</LinksUpToDate>
  <CharactersWithSpaces>2998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2024-08-12T03:47:00Z</dcterms:created>
  <dc:creator> </dc:creator>
  <cp:lastModifiedBy>Administrator</cp:lastModifiedBy>
  <cp:lastPrinted>2024-08-26T12:12:00Z</cp:lastPrinted>
  <dcterms:modified xsi:type="dcterms:W3CDTF">2024-09-06T07:30:25Z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6762AF5620784DFFADA2768C58779BB1_13</vt:lpwstr>
  </property>
</Properties>
</file>