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1.webp" ContentType="image/webp"/>
  <Override PartName="/word/media/image10.webp" ContentType="image/webp"/>
  <Override PartName="/word/media/image11.webp" ContentType="image/webp"/>
  <Override PartName="/word/media/image12.webp" ContentType="image/webp"/>
  <Override PartName="/word/media/image13.webp" ContentType="image/webp"/>
  <Override PartName="/word/media/image14.webp" ContentType="image/webp"/>
  <Override PartName="/word/media/image15.webp" ContentType="image/webp"/>
  <Override PartName="/word/media/image16.webp" ContentType="image/webp"/>
  <Override PartName="/word/media/image17.webp" ContentType="image/webp"/>
  <Override PartName="/word/media/image18.webp" ContentType="image/webp"/>
  <Override PartName="/word/media/image19.webp" ContentType="image/webp"/>
  <Override PartName="/word/media/image2.webp" ContentType="image/webp"/>
  <Override PartName="/word/media/image20.webp" ContentType="image/webp"/>
  <Override PartName="/word/media/image21.webp" ContentType="image/webp"/>
  <Override PartName="/word/media/image22.webp" ContentType="image/webp"/>
  <Override PartName="/word/media/image23.webp" ContentType="image/webp"/>
  <Override PartName="/word/media/image24.webp" ContentType="image/webp"/>
  <Override PartName="/word/media/image25.webp" ContentType="image/webp"/>
  <Override PartName="/word/media/image26.webp" ContentType="image/webp"/>
  <Override PartName="/word/media/image27.webp" ContentType="image/webp"/>
  <Override PartName="/word/media/image28.webp" ContentType="image/webp"/>
  <Override PartName="/word/media/image29.webp" ContentType="image/webp"/>
  <Override PartName="/word/media/image3.webp" ContentType="image/webp"/>
  <Override PartName="/word/media/image30.webp" ContentType="image/webp"/>
  <Override PartName="/word/media/image31.webp" ContentType="image/webp"/>
  <Override PartName="/word/media/image32.webp" ContentType="image/webp"/>
  <Override PartName="/word/media/image33.webp" ContentType="image/webp"/>
  <Override PartName="/word/media/image34.webp" ContentType="image/webp"/>
  <Override PartName="/word/media/image35.webp" ContentType="image/webp"/>
  <Override PartName="/word/media/image4.webp" ContentType="image/webp"/>
  <Override PartName="/word/media/image5.webp" ContentType="image/webp"/>
  <Override PartName="/word/media/image6.webp" ContentType="image/webp"/>
  <Override PartName="/word/media/image7.webp" ContentType="image/webp"/>
  <Override PartName="/word/media/image8.webp" ContentType="image/webp"/>
  <Override PartName="/word/media/image9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D9C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leftChars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bdr w:val="none" w:color="auto" w:sz="0" w:space="0"/>
          <w:shd w:val="clear" w:fill="FFFFFF"/>
        </w:rPr>
        <w:t>就业促进行动 | 东胜区团委多点发力，青春护航青年就业创业</w:t>
      </w:r>
    </w:p>
    <w:bookmarkEnd w:id="0"/>
    <w:p w14:paraId="0EA5237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560" w:lineRule="exact"/>
        <w:ind w:left="0" w:right="0" w:firstLine="42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</w:pPr>
    </w:p>
    <w:p w14:paraId="148FD2F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560" w:lineRule="exact"/>
        <w:ind w:left="0" w:right="0" w:firstLine="42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为扎实推进自治区“六个行动”，东胜区团委将“就业促进行动”目标任务与共青团重点工作深度融合，锚定“服务青年、服务大局”定位，紧扣青年就业创业核心需求，以平台搭建、精准赋能、深化合作为关键举措，统筹资源、创新方法，多维度推进青年就业促进行动，切实助力青年实现充分就业创业。</w:t>
      </w:r>
    </w:p>
    <w:p w14:paraId="4F02DE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一、搭建就业服务平台，精准对接供需需求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br w:type="textWrapping"/>
      </w:r>
      <w:r>
        <w:rPr>
          <w:rStyle w:val="8"/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1.联动开展专场服务活动</w:t>
      </w:r>
    </w:p>
    <w:p w14:paraId="0E2995C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48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联合就业局等多个职能部门，聚焦青年就业群体特点，举办多场专场招聘会，同步提供就业政策咨询、岗位匹配指导、创业问题答疑等“一站式”服务，累计发放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就业创业宣传资料700余份、宣传品3000余份，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有效打通政策落地“最后一公里”。</w:t>
      </w:r>
    </w:p>
    <w:p w14:paraId="33954E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vertAlign w:val="baseline"/>
          <w:lang w:val="en-US" w:eastAsia="zh-CN" w:bidi="ar"/>
        </w:rPr>
        <w:drawing>
          <wp:inline distT="0" distB="0" distL="114300" distR="114300">
            <wp:extent cx="2612390" cy="1468120"/>
            <wp:effectExtent l="0" t="0" r="16510" b="17780"/>
            <wp:docPr id="1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2390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628265" cy="1971675"/>
            <wp:effectExtent l="0" t="0" r="635" b="9525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586990" cy="1940560"/>
            <wp:effectExtent l="0" t="0" r="3810" b="2540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1940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607310" cy="1955800"/>
            <wp:effectExtent l="0" t="0" r="2540" b="6350"/>
            <wp:docPr id="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8"/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2.创新推出专项服务计划</w:t>
      </w:r>
    </w:p>
    <w:p w14:paraId="09BAFEF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448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制定并实施《共青团鄂尔多斯市东胜区委员会青年就业促进六大计划》，依托共青团组织协调优势，深化与各相关部门联动协作，动态跟踪青年就业创业诉求，持续搭建优质服务平台，切实破解青年就业创业“急难愁盼”问题。</w:t>
      </w:r>
    </w:p>
    <w:p w14:paraId="4EBA3A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vertAlign w:val="baseline"/>
          <w:lang w:val="en-US" w:eastAsia="zh-CN" w:bidi="ar"/>
        </w:rPr>
        <w:drawing>
          <wp:inline distT="0" distB="0" distL="114300" distR="114300">
            <wp:extent cx="3866515" cy="2735580"/>
            <wp:effectExtent l="0" t="0" r="635" b="7620"/>
            <wp:docPr id="13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 descr="IMG_26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66515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8065F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240" w:lineRule="auto"/>
        <w:ind w:left="0" w:leftChars="0" w:firstLine="0" w:firstLineChars="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Style w:val="8"/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3.拓宽线上信息发布渠道</w:t>
      </w:r>
    </w:p>
    <w:p w14:paraId="763E214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48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通过“青春东胜”微信公众号“团团直通车”专栏，常态化发布就业创业政策、岗位招聘信息，全年累计推送专栏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45期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，提供各类岗位信息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18286个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，实现岗位信息与青年需求的精准对接，为青年就业搭建“云端桥梁”。</w:t>
      </w:r>
    </w:p>
    <w:p w14:paraId="72DA44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二、打造特色活动品牌，强化就业创业支撑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br w:type="textWrapping"/>
      </w:r>
      <w:r>
        <w:rPr>
          <w:rStyle w:val="8"/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1.创客东风系列活动精准赋能</w:t>
      </w:r>
    </w:p>
    <w:p w14:paraId="27DCE94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48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聚焦五四青年节、高校毕业季等关键节点，分别开展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“青创专场”“应届高校毕业生就业创业专场”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活动。邀请高校就业指导老师、行业专家及青年创客代表现场解读创业补贴、贴息贷款、职业技能培训等政策，面对面为青年创业者、求职者排忧解难。</w:t>
      </w:r>
    </w:p>
    <w:p w14:paraId="4685DE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621280" cy="1965960"/>
            <wp:effectExtent l="0" t="0" r="7620" b="15240"/>
            <wp:docPr id="16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 descr="IMG_26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vertAlign w:val="baseline"/>
          <w:lang w:val="en-US" w:eastAsia="zh-CN" w:bidi="ar"/>
        </w:rPr>
        <w:drawing>
          <wp:inline distT="0" distB="0" distL="114300" distR="114300">
            <wp:extent cx="2541905" cy="1906905"/>
            <wp:effectExtent l="0" t="0" r="10795" b="17145"/>
            <wp:docPr id="19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 descr="IMG_26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vertAlign w:val="baseline"/>
          <w:lang w:val="en-US" w:eastAsia="zh-CN" w:bidi="ar"/>
        </w:rPr>
        <w:drawing>
          <wp:inline distT="0" distB="0" distL="114300" distR="114300">
            <wp:extent cx="2613660" cy="1960245"/>
            <wp:effectExtent l="0" t="0" r="15240" b="1905"/>
            <wp:docPr id="7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2" descr="IMG_26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960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597150" cy="1948180"/>
            <wp:effectExtent l="0" t="0" r="12700" b="13970"/>
            <wp:docPr id="14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IMG_26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97150" cy="1948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A6C22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0" w:afterAutospacing="0" w:line="560" w:lineRule="exact"/>
        <w:ind w:left="0" w:leftChars="0" w:right="0" w:firstLine="0" w:firstLineChars="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Style w:val="8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bdr w:val="none" w:color="auto" w:sz="0" w:space="0"/>
        </w:rPr>
        <w:t>2.青工技能竞赛培育工匠精神</w:t>
      </w:r>
    </w:p>
    <w:p w14:paraId="6897677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48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联合举办2025年“技能之星”电力专业青工技能竞赛暨第五届员工专业技能竞赛，设置理论知识考核、实际操作比拼、主题演讲展示三大环节，涵盖电力安全管理、农网配电、配电运检、青年综合能力等12个竞赛项目，吸引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127名青年技能人才参赛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。通过以赛促学、以赛促练，为青年搭建技能提升与风采展示的多元平台，引导全区青年弘扬工匠精神、锤炼专业本领。</w:t>
      </w:r>
    </w:p>
    <w:p w14:paraId="6EFBE6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vertAlign w:val="baseline"/>
          <w:lang w:val="en-US" w:eastAsia="zh-CN" w:bidi="ar"/>
        </w:rPr>
        <w:drawing>
          <wp:inline distT="0" distB="0" distL="114300" distR="114300">
            <wp:extent cx="2596515" cy="1947545"/>
            <wp:effectExtent l="0" t="0" r="13335" b="14605"/>
            <wp:docPr id="18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 descr="IMG_26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vertAlign w:val="baseline"/>
          <w:lang w:val="en-US" w:eastAsia="zh-CN" w:bidi="ar"/>
        </w:rPr>
        <w:drawing>
          <wp:inline distT="0" distB="0" distL="114300" distR="114300">
            <wp:extent cx="2627630" cy="1971675"/>
            <wp:effectExtent l="0" t="0" r="1270" b="9525"/>
            <wp:docPr id="15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7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vertAlign w:val="baseline"/>
          <w:lang w:val="en-US" w:eastAsia="zh-CN" w:bidi="ar"/>
        </w:rPr>
        <w:drawing>
          <wp:inline distT="0" distB="0" distL="114300" distR="114300">
            <wp:extent cx="2573655" cy="1931035"/>
            <wp:effectExtent l="0" t="0" r="17145" b="12065"/>
            <wp:docPr id="8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6" descr="IMG_27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1931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588260" cy="1941195"/>
            <wp:effectExtent l="0" t="0" r="2540" b="1905"/>
            <wp:docPr id="10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 descr="IMG_27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1941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75927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0" w:afterAutospacing="0" w:line="560" w:lineRule="exact"/>
        <w:ind w:left="0" w:leftChars="0" w:right="0" w:firstLine="0" w:firstLineChars="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Style w:val="8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bdr w:val="none" w:color="auto" w:sz="0" w:space="0"/>
        </w:rPr>
        <w:t>3.政企座谈助力民营经济发展</w:t>
      </w:r>
    </w:p>
    <w:p w14:paraId="1DA9416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448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联合举办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青年民营企业家座谈会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，邀请交通银行康巴什支行负责人、区青年企业家协会代表及青年民营企业家齐聚一堂，围绕人才引育、金融支持、政策落地等核心议题深入交流，精准对接企业发展诉求，为青年企业找准发展赛道、把握行业前沿提供指导，全力助推民营经济高质量发展。</w:t>
      </w:r>
    </w:p>
    <w:p w14:paraId="241482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750820" cy="1513205"/>
            <wp:effectExtent l="0" t="0" r="11430" b="10795"/>
            <wp:docPr id="41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8" descr="IMG_27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1513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471F0E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68DF64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三、深化实习实践工作，助力青年成长成才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br w:type="textWrapping"/>
      </w:r>
      <w:r>
        <w:rPr>
          <w:rStyle w:val="8"/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1.打造实习实践品牌矩阵</w:t>
      </w:r>
    </w:p>
    <w:p w14:paraId="62A1C47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48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以“胜都聚才 胜请您来”为核心品牌，结合“扬帆计划”“返家乡”“青年实干家”“兼任基层团组织副书记”等项目，制定《东胜区大学生实习实践工作方案》，创新推出“学”在东胜、乐“业”东胜、“践”行东胜、“职”引东胜、“融”入东胜五大系列活动。全年在全区党政机关、企事业单位、金融机构及民营企业中征集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实习岗位762个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，吸引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354名大学生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参与实习。</w:t>
      </w:r>
    </w:p>
    <w:p w14:paraId="59E4F7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24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1534160" cy="2644775"/>
            <wp:effectExtent l="0" t="0" r="8890" b="3175"/>
            <wp:docPr id="4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0" descr="IMG_27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34160" cy="2644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vertAlign w:val="baseline"/>
          <w:lang w:val="en-US" w:eastAsia="zh-CN" w:bidi="ar"/>
        </w:rPr>
        <w:drawing>
          <wp:inline distT="0" distB="0" distL="114300" distR="114300">
            <wp:extent cx="1563370" cy="2705100"/>
            <wp:effectExtent l="0" t="0" r="17780" b="0"/>
            <wp:docPr id="37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1" descr="IMG_27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vertAlign w:val="baseline"/>
          <w:lang w:val="en-US" w:eastAsia="zh-CN" w:bidi="ar"/>
        </w:rPr>
        <w:drawing>
          <wp:inline distT="0" distB="0" distL="114300" distR="114300">
            <wp:extent cx="1527175" cy="2614295"/>
            <wp:effectExtent l="0" t="0" r="15875" b="14605"/>
            <wp:docPr id="32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2" descr="IMG_27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2614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93C2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560" w:lineRule="exact"/>
        <w:ind w:left="0" w:leftChars="0" w:firstLine="0" w:firstLineChars="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Style w:val="8"/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2.强化实习青年能力提升</w:t>
      </w:r>
    </w:p>
    <w:p w14:paraId="1329902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48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精心组织2025年大学生实习实践岗前培训及“职业启航训练营”，通过政策解读、职场礼仪培训、岗位技能指导等内容，帮助实习大学生快速适应职场环境、提升综合能力，切实将共青团促进大学生就业行动落到实处。同时，邀请武汉大学、同济大学等高校研究生到区党政部门开展政务实习，召开实习见面会搭建沟通桥梁，助力高校人才了解地方、服务地方。</w:t>
      </w:r>
    </w:p>
    <w:p w14:paraId="1B471C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vertAlign w:val="baseline"/>
          <w:lang w:val="en-US" w:eastAsia="zh-CN" w:bidi="ar"/>
        </w:rPr>
        <w:drawing>
          <wp:inline distT="0" distB="0" distL="114300" distR="114300">
            <wp:extent cx="2544445" cy="1590675"/>
            <wp:effectExtent l="0" t="0" r="8255" b="9525"/>
            <wp:docPr id="38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3" descr="IMG_27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vertAlign w:val="baseline"/>
          <w:lang w:val="en-US" w:eastAsia="zh-CN" w:bidi="ar"/>
        </w:rPr>
        <w:drawing>
          <wp:inline distT="0" distB="0" distL="114300" distR="114300">
            <wp:extent cx="2586355" cy="1939925"/>
            <wp:effectExtent l="0" t="0" r="4445" b="3175"/>
            <wp:docPr id="42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4" descr="IMG_27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863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5266690" cy="3950335"/>
            <wp:effectExtent l="0" t="0" r="10160" b="12065"/>
            <wp:docPr id="29" name="图片 2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5" descr="IMG_28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8"/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3.工作成效获主流媒体关注</w:t>
      </w:r>
    </w:p>
    <w:p w14:paraId="1ACFA55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448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东胜区青年人才实习见习工作得到内蒙古卫视《一线观察》栏目“促进就业如何挖潜扩容”专题报道，通过主流媒体宣传扩大工作影响力，为青年就业促进行动营造良好社会氛围。</w:t>
      </w:r>
    </w:p>
    <w:p w14:paraId="3C85DCD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  <w:vertAlign w:val="baseline"/>
        </w:rPr>
        <w:drawing>
          <wp:inline distT="0" distB="0" distL="114300" distR="114300">
            <wp:extent cx="5272405" cy="4616450"/>
            <wp:effectExtent l="0" t="0" r="4445" b="12700"/>
            <wp:docPr id="28" name="图片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6" descr="IMG_28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1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A4945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t>四、推进校地协同合作，拓宽青年发展空间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br w:type="textWrapping"/>
      </w:r>
      <w:r>
        <w:rPr>
          <w:rStyle w:val="8"/>
          <w:rFonts w:hint="eastAsia" w:ascii="楷体_GB2312" w:hAnsi="楷体_GB2312" w:eastAsia="楷体_GB2312" w:cs="楷体_GB2312"/>
          <w:b w:val="0"/>
          <w:bCs w:val="0"/>
          <w:color w:val="auto"/>
          <w:spacing w:val="23"/>
          <w:kern w:val="0"/>
          <w:sz w:val="32"/>
          <w:szCs w:val="32"/>
          <w:bdr w:val="none" w:color="auto" w:sz="0" w:space="0"/>
          <w:lang w:val="en-US" w:eastAsia="zh-CN" w:bidi="ar"/>
        </w:rPr>
        <w:t>1.承接高校社会实践活动</w:t>
      </w:r>
    </w:p>
    <w:p w14:paraId="1382FD9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448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深化与全国重点高校的协同创新与校地合作，承接清华大学、北京大学、复旦大学、武汉大学、同济大学、山东大学、中国石油大学（华东）、长安大学等8所全国重点高校的暑期社会实践团队，共计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23"/>
          <w:sz w:val="32"/>
          <w:szCs w:val="32"/>
          <w:bdr w:val="none" w:color="auto" w:sz="0" w:space="0"/>
        </w:rPr>
        <w:t>116名师生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深入东胜开展实践调研。实践团队紧扣东胜区能源化工、新能源开发、基层社会治理、乡村振兴等核心发展领域，分赴蒙泰集团、铜川镇光伏基地、亿利金威社区、区政务服务中心等12家行政企事业单位，通过实地考察、座谈交流、课题研究、志愿服务等多种形式开展沉浸式实践，累计形成高质量调研成果报告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23"/>
          <w:sz w:val="32"/>
          <w:szCs w:val="32"/>
          <w:bdr w:val="none" w:color="auto" w:sz="0" w:space="0"/>
        </w:rPr>
        <w:t>16份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，提出针对性发展建议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23"/>
          <w:sz w:val="32"/>
          <w:szCs w:val="32"/>
          <w:bdr w:val="none" w:color="auto" w:sz="0" w:space="0"/>
        </w:rPr>
        <w:t>48条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，为东胜区相关领域发展提供了宝贵的智力支持。</w:t>
      </w:r>
    </w:p>
    <w:p w14:paraId="5B0FF2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580005" cy="1149350"/>
            <wp:effectExtent l="0" t="0" r="10795" b="12700"/>
            <wp:docPr id="30" name="图片 2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8" descr="IMG_28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80005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596515" cy="1947545"/>
            <wp:effectExtent l="0" t="0" r="13335" b="14605"/>
            <wp:docPr id="34" name="图片 2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9" descr="IMG_28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570480" cy="1928495"/>
            <wp:effectExtent l="0" t="0" r="1270" b="14605"/>
            <wp:docPr id="33" name="图片 3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0" descr="IMG_28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1928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vertAlign w:val="baseline"/>
          <w:lang w:val="en-US" w:eastAsia="zh-CN" w:bidi="ar"/>
        </w:rPr>
        <w:drawing>
          <wp:inline distT="0" distB="0" distL="114300" distR="114300">
            <wp:extent cx="2610485" cy="1957705"/>
            <wp:effectExtent l="0" t="0" r="18415" b="4445"/>
            <wp:docPr id="35" name="图片 31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1" descr="IMG_28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10485" cy="1957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569845" cy="1928495"/>
            <wp:effectExtent l="0" t="0" r="1905" b="14605"/>
            <wp:docPr id="26" name="图片 3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2" descr="IMG_28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1928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2F21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240" w:lineRule="auto"/>
        <w:ind w:left="0" w:leftChars="0" w:firstLine="0" w:firstLineChars="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Style w:val="8"/>
          <w:rFonts w:hint="eastAsia" w:ascii="楷体_GB2312" w:hAnsi="楷体_GB2312" w:eastAsia="楷体_GB2312" w:cs="楷体_GB2312"/>
          <w:b w:val="0"/>
          <w:bCs w:val="0"/>
          <w:color w:val="auto"/>
          <w:spacing w:val="23"/>
          <w:kern w:val="0"/>
          <w:sz w:val="32"/>
          <w:szCs w:val="32"/>
          <w:bdr w:val="none" w:color="auto" w:sz="0" w:space="0"/>
          <w:lang w:val="en-US" w:eastAsia="zh-CN" w:bidi="ar"/>
        </w:rPr>
        <w:t>2.健全校地合作长效机制</w:t>
      </w:r>
    </w:p>
    <w:p w14:paraId="3C1C800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48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推动校地合作从“短期互动”向“长效共建”转型，挂牌成立长安大学东胜区社会实践基地、西北农林科技大学东胜区社会实践基地，构建起“资源共享、优势互补、合作共赢”的校地合作新格局。同时，聘请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23"/>
          <w:sz w:val="32"/>
          <w:szCs w:val="32"/>
          <w:bdr w:val="none" w:color="auto" w:sz="0" w:space="0"/>
        </w:rPr>
        <w:t>“校园引才大使”“青年城市推介官”13人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，通过宣传东胜区人才政策、产业优势、发展机遇，搭建起地方与高校人才交流的“空中桥梁”，助力东胜区精准吸引更多优秀青年人才来胜就业创业。</w:t>
      </w:r>
    </w:p>
    <w:p w14:paraId="3B5567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604770" cy="1464310"/>
            <wp:effectExtent l="0" t="0" r="5080" b="2540"/>
            <wp:docPr id="36" name="图片 33" descr="IMG_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3" descr="IMG_28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1464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vertAlign w:val="baseline"/>
          <w:lang w:val="en-US" w:eastAsia="zh-CN" w:bidi="ar"/>
        </w:rPr>
        <w:drawing>
          <wp:inline distT="0" distB="0" distL="114300" distR="114300">
            <wp:extent cx="2587625" cy="1454785"/>
            <wp:effectExtent l="0" t="0" r="3175" b="12065"/>
            <wp:docPr id="27" name="图片 34" descr="IMG_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4" descr="IMG_28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587625" cy="1454785"/>
            <wp:effectExtent l="0" t="0" r="3175" b="12065"/>
            <wp:docPr id="39" name="图片 35" descr="IMG_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5" descr="IMG_29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587625" cy="1454785"/>
            <wp:effectExtent l="0" t="0" r="3175" b="12065"/>
            <wp:docPr id="40" name="图片 36" descr="IMG_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6" descr="IMG_29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8"/>
          <w:rFonts w:hint="eastAsia" w:ascii="楷体_GB2312" w:hAnsi="楷体_GB2312" w:eastAsia="楷体_GB2312" w:cs="楷体_GB2312"/>
          <w:b w:val="0"/>
          <w:bCs w:val="0"/>
          <w:color w:val="auto"/>
          <w:spacing w:val="23"/>
          <w:kern w:val="0"/>
          <w:sz w:val="32"/>
          <w:szCs w:val="32"/>
          <w:bdr w:val="none" w:color="auto" w:sz="0" w:space="0"/>
          <w:lang w:val="en-US" w:eastAsia="zh-CN" w:bidi="ar"/>
        </w:rPr>
        <w:t>3.丰富校地合作活动内涵</w:t>
      </w:r>
    </w:p>
    <w:p w14:paraId="019D01E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48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联动清华大学、北京大学实践团队，深入鄂尔多斯市第一中学东胜校区、鄂尔多斯衡水实验中学开展“铸牢中华民族共同体意识”“青春奋斗与时代担当”等主题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23"/>
          <w:sz w:val="32"/>
          <w:szCs w:val="32"/>
          <w:bdr w:val="none" w:color="auto" w:sz="0" w:space="0"/>
        </w:rPr>
        <w:t>宣讲活动4场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，覆盖师生2000余人次，引导青少年树立远大理想、厚植家国情怀。组织开展“青才聚东胜”青年人才趣味运动会、“青春筑梦东胜 高校实践汇演”晚会等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23"/>
          <w:sz w:val="32"/>
          <w:szCs w:val="32"/>
          <w:bdr w:val="none" w:color="auto" w:sz="0" w:space="0"/>
        </w:rPr>
        <w:t>文体活动4场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，增进实践师生与本地青年的交流互动，增强实践师生对东胜的归属感与认同感。此外，精心策划拍摄“印象东胜”“青春实践记”等主题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宣传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spacing w:val="23"/>
          <w:sz w:val="32"/>
          <w:szCs w:val="32"/>
          <w:bdr w:val="none" w:color="auto" w:sz="0" w:space="0"/>
        </w:rPr>
        <w:t>短视频8期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，通过“青春东胜”新媒体平台及高校官方渠道同步推送，全方位展现东胜区的城市魅力与发展活力，进一步扩大东胜区在全国高校中的知名度与影响力。</w:t>
      </w:r>
    </w:p>
    <w:p w14:paraId="0BCEE1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547620" cy="1426845"/>
            <wp:effectExtent l="0" t="0" r="5080" b="1905"/>
            <wp:docPr id="23" name="图片 37" descr="IMG_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7" descr="IMG_29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47620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576195" cy="1932305"/>
            <wp:effectExtent l="0" t="0" r="14605" b="10795"/>
            <wp:docPr id="20" name="图片 38" descr="IMG_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8" descr="IMG_29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498725" cy="1874520"/>
            <wp:effectExtent l="0" t="0" r="15875" b="11430"/>
            <wp:docPr id="21" name="图片 39" descr="IMG_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9" descr="IMG_29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98725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621280" cy="1965960"/>
            <wp:effectExtent l="0" t="0" r="7620" b="15240"/>
            <wp:docPr id="22" name="图片 40" descr="IMG_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0" descr="IMG_29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bdr w:val="none" w:color="auto" w:sz="0" w:space="0"/>
          <w:vertAlign w:val="baseline"/>
          <w:lang w:val="en-US" w:eastAsia="zh-CN" w:bidi="ar"/>
        </w:rPr>
        <w:drawing>
          <wp:inline distT="0" distB="0" distL="114300" distR="114300">
            <wp:extent cx="2493645" cy="1871980"/>
            <wp:effectExtent l="0" t="0" r="1905" b="13970"/>
            <wp:docPr id="25" name="图片 41" descr="IMG_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1" descr="IMG_29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93645" cy="1871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749EB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</w:rPr>
        <w:t>青年是城市发展的活力源泉，就业创业更是青年实现人生价值的重要途径。团区委始终以解决青年“急难愁盼”为核心导向，持续深化青年就业促进行动，通过优化服务体系、凝聚多方合力、深化校地合作、强化宣传引导等多维度，进一步完善线上线下联动的就业服务平台，细化青年就业创业诉求台账，针对性推出政策宣讲、岗位对接、技能提升等定制化服务，推动服务从“广覆盖”向“精细化”升级，构建“共建共享、互利共赢”的工作格局，推动校地合作从“实践互动”向“人才共育、产业共兴”深度融合，进一步增强城市对青年的吸引力和凝聚力，让更多优秀青年扎根东胜、建设东胜！</w:t>
      </w:r>
    </w:p>
    <w:p w14:paraId="4BD33B0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bdr w:val="none" w:color="auto" w:sz="0" w:space="0"/>
          <w:lang w:eastAsia="zh-CN"/>
        </w:rPr>
        <w:drawing>
          <wp:inline distT="0" distB="0" distL="114300" distR="114300">
            <wp:extent cx="7028180" cy="5271135"/>
            <wp:effectExtent l="0" t="0" r="5715" b="1270"/>
            <wp:docPr id="43" name="图片 43" descr="ca33241074e71ff8243ad3213849f8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ca33241074e71ff8243ad3213849f8c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818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32648">
      <w:pPr>
        <w:rPr>
          <w:b w:val="0"/>
          <w:bCs w:val="0"/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C44A5B"/>
    <w:rsid w:val="35737BFE"/>
    <w:rsid w:val="576A0048"/>
    <w:rsid w:val="57CD43E4"/>
    <w:rsid w:val="5CD64EEC"/>
    <w:rsid w:val="64D82755"/>
    <w:rsid w:val="66261669"/>
    <w:rsid w:val="6BB4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ind w:firstLine="0" w:firstLineChars="0"/>
      <w:jc w:val="center"/>
      <w:outlineLvl w:val="1"/>
    </w:pPr>
    <w:rPr>
      <w:rFonts w:ascii="Arial" w:hAnsi="Arial" w:eastAsia="黑体"/>
      <w:b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标题 2 Char"/>
    <w:link w:val="3"/>
    <w:qFormat/>
    <w:uiPriority w:val="0"/>
    <w:rPr>
      <w:rFonts w:ascii="Arial" w:hAnsi="Arial" w:eastAsia="黑体"/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webp"/><Relationship Id="rId8" Type="http://schemas.openxmlformats.org/officeDocument/2006/relationships/image" Target="media/image3.webp"/><Relationship Id="rId7" Type="http://schemas.openxmlformats.org/officeDocument/2006/relationships/image" Target="media/image2.webp"/><Relationship Id="rId6" Type="http://schemas.openxmlformats.org/officeDocument/2006/relationships/image" Target="media/image1.webp"/><Relationship Id="rId5" Type="http://schemas.openxmlformats.org/officeDocument/2006/relationships/theme" Target="theme/theme1.xml"/><Relationship Id="rId42" Type="http://schemas.openxmlformats.org/officeDocument/2006/relationships/fontTable" Target="fontTable.xml"/><Relationship Id="rId41" Type="http://schemas.openxmlformats.org/officeDocument/2006/relationships/image" Target="media/image36.jpeg"/><Relationship Id="rId40" Type="http://schemas.openxmlformats.org/officeDocument/2006/relationships/image" Target="media/image35.webp"/><Relationship Id="rId4" Type="http://schemas.openxmlformats.org/officeDocument/2006/relationships/endnotes" Target="endnotes.xml"/><Relationship Id="rId39" Type="http://schemas.openxmlformats.org/officeDocument/2006/relationships/image" Target="media/image34.webp"/><Relationship Id="rId38" Type="http://schemas.openxmlformats.org/officeDocument/2006/relationships/image" Target="media/image33.webp"/><Relationship Id="rId37" Type="http://schemas.openxmlformats.org/officeDocument/2006/relationships/image" Target="media/image32.webp"/><Relationship Id="rId36" Type="http://schemas.openxmlformats.org/officeDocument/2006/relationships/image" Target="media/image31.webp"/><Relationship Id="rId35" Type="http://schemas.openxmlformats.org/officeDocument/2006/relationships/image" Target="media/image30.webp"/><Relationship Id="rId34" Type="http://schemas.openxmlformats.org/officeDocument/2006/relationships/image" Target="media/image29.webp"/><Relationship Id="rId33" Type="http://schemas.openxmlformats.org/officeDocument/2006/relationships/image" Target="media/image28.webp"/><Relationship Id="rId32" Type="http://schemas.openxmlformats.org/officeDocument/2006/relationships/image" Target="media/image27.webp"/><Relationship Id="rId31" Type="http://schemas.openxmlformats.org/officeDocument/2006/relationships/image" Target="media/image26.webp"/><Relationship Id="rId30" Type="http://schemas.openxmlformats.org/officeDocument/2006/relationships/image" Target="media/image25.webp"/><Relationship Id="rId3" Type="http://schemas.openxmlformats.org/officeDocument/2006/relationships/footnotes" Target="footnotes.xml"/><Relationship Id="rId29" Type="http://schemas.openxmlformats.org/officeDocument/2006/relationships/image" Target="media/image24.webp"/><Relationship Id="rId28" Type="http://schemas.openxmlformats.org/officeDocument/2006/relationships/image" Target="media/image23.webp"/><Relationship Id="rId27" Type="http://schemas.openxmlformats.org/officeDocument/2006/relationships/image" Target="media/image22.webp"/><Relationship Id="rId26" Type="http://schemas.openxmlformats.org/officeDocument/2006/relationships/image" Target="media/image21.webp"/><Relationship Id="rId25" Type="http://schemas.openxmlformats.org/officeDocument/2006/relationships/image" Target="media/image20.webp"/><Relationship Id="rId24" Type="http://schemas.openxmlformats.org/officeDocument/2006/relationships/image" Target="media/image19.webp"/><Relationship Id="rId23" Type="http://schemas.openxmlformats.org/officeDocument/2006/relationships/image" Target="media/image18.webp"/><Relationship Id="rId22" Type="http://schemas.openxmlformats.org/officeDocument/2006/relationships/image" Target="media/image17.webp"/><Relationship Id="rId21" Type="http://schemas.openxmlformats.org/officeDocument/2006/relationships/image" Target="media/image16.webp"/><Relationship Id="rId20" Type="http://schemas.openxmlformats.org/officeDocument/2006/relationships/image" Target="media/image15.webp"/><Relationship Id="rId2" Type="http://schemas.openxmlformats.org/officeDocument/2006/relationships/settings" Target="settings.xml"/><Relationship Id="rId19" Type="http://schemas.openxmlformats.org/officeDocument/2006/relationships/image" Target="media/image14.webp"/><Relationship Id="rId18" Type="http://schemas.openxmlformats.org/officeDocument/2006/relationships/image" Target="media/image13.webp"/><Relationship Id="rId17" Type="http://schemas.openxmlformats.org/officeDocument/2006/relationships/image" Target="media/image12.webp"/><Relationship Id="rId16" Type="http://schemas.openxmlformats.org/officeDocument/2006/relationships/image" Target="media/image11.webp"/><Relationship Id="rId15" Type="http://schemas.openxmlformats.org/officeDocument/2006/relationships/image" Target="media/image10.webp"/><Relationship Id="rId14" Type="http://schemas.openxmlformats.org/officeDocument/2006/relationships/image" Target="media/image9.webp"/><Relationship Id="rId13" Type="http://schemas.openxmlformats.org/officeDocument/2006/relationships/image" Target="media/image8.webp"/><Relationship Id="rId12" Type="http://schemas.openxmlformats.org/officeDocument/2006/relationships/image" Target="media/image7.webp"/><Relationship Id="rId11" Type="http://schemas.openxmlformats.org/officeDocument/2006/relationships/image" Target="media/image6.webp"/><Relationship Id="rId10" Type="http://schemas.openxmlformats.org/officeDocument/2006/relationships/image" Target="media/image5.webp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2024-12-24T02:22:00Z</dcterms:created>
  <dc:creator>HP</dc:creator>
  <cp:lastModifiedBy>青春东胜</cp:lastModifiedBy>
  <dcterms:modified xsi:type="dcterms:W3CDTF">2025-11-24T01:59:19Z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BE44E76E0BEF4A70BECB1C632805EBF2_12</vt:lpwstr>
  </property>
  <property fmtid="{D5CDD505-2E9C-101B-9397-08002B2CF9AE}" pid="4" name="KSOTemplateDocerSaveRecord">
    <vt:lpwstr>eyJoZGlkIjoiMjEwZmM4Njc2YzhmYmQzMWM2NGM2MGZmNDExNDI1ZjgiLCJ1c2VySWQiOiIxNjQ2OTY2NTQ0In0=</vt:lpwstr>
  </property>
</Properties>
</file>