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contextualSpacing/>
        <w:rPr>
          <w:rFonts w:eastAsia="方正小标宋简体"/>
          <w:sz w:val="44"/>
          <w:szCs w:val="44"/>
        </w:rPr>
      </w:pPr>
      <w:bookmarkStart w:id="2" w:name="_GoBack"/>
      <w:bookmarkEnd w:id="2"/>
    </w:p>
    <w:p>
      <w:pPr>
        <w:spacing w:line="560" w:lineRule="exact"/>
        <w:contextualSpacing/>
        <w:jc w:val="center"/>
        <w:rPr>
          <w:rFonts w:hint="eastAsia" w:ascii="仿宋_GB2312" w:eastAsia="仿宋_GB2312"/>
          <w:sz w:val="32"/>
          <w:szCs w:val="32"/>
        </w:rPr>
      </w:pPr>
      <w:r>
        <w:rPr>
          <w:rFonts w:hint="eastAsia" w:ascii="仿宋_GB2312" w:eastAsia="仿宋_GB2312"/>
          <w:sz w:val="32"/>
          <w:szCs w:val="32"/>
        </w:rPr>
        <w:t>鄂财农规发〔2021〕7号</w:t>
      </w:r>
    </w:p>
    <w:p>
      <w:pPr>
        <w:spacing w:line="560" w:lineRule="exact"/>
        <w:contextualSpacing/>
        <w:rPr>
          <w:rFonts w:eastAsia="方正小标宋简体"/>
          <w:sz w:val="44"/>
          <w:szCs w:val="44"/>
        </w:rPr>
      </w:pPr>
    </w:p>
    <w:p>
      <w:pPr>
        <w:spacing w:line="580" w:lineRule="exact"/>
        <w:contextualSpacing/>
        <w:jc w:val="center"/>
        <w:rPr>
          <w:rFonts w:eastAsia="方正小标宋简体"/>
          <w:sz w:val="44"/>
          <w:szCs w:val="44"/>
        </w:rPr>
      </w:pPr>
      <w:r>
        <w:rPr>
          <w:rFonts w:hint="eastAsia" w:eastAsia="方正小标宋简体"/>
          <w:sz w:val="44"/>
          <w:szCs w:val="44"/>
        </w:rPr>
        <w:t>关于印发《鄂尔多斯市财政衔接推进乡村</w:t>
      </w:r>
    </w:p>
    <w:p>
      <w:pPr>
        <w:spacing w:line="580" w:lineRule="exact"/>
        <w:contextualSpacing/>
        <w:jc w:val="center"/>
        <w:rPr>
          <w:rFonts w:eastAsia="方正小标宋简体"/>
          <w:sz w:val="44"/>
          <w:szCs w:val="44"/>
        </w:rPr>
      </w:pPr>
      <w:r>
        <w:rPr>
          <w:rFonts w:hint="eastAsia" w:eastAsia="方正小标宋简体"/>
          <w:sz w:val="44"/>
          <w:szCs w:val="44"/>
        </w:rPr>
        <w:t>振兴补助资金管理办法》的通知</w:t>
      </w:r>
    </w:p>
    <w:p>
      <w:pPr>
        <w:spacing w:line="580" w:lineRule="exact"/>
        <w:contextualSpacing/>
        <w:jc w:val="center"/>
        <w:rPr>
          <w:rFonts w:eastAsia="方正小标宋简体"/>
          <w:sz w:val="44"/>
          <w:szCs w:val="44"/>
        </w:rPr>
      </w:pPr>
    </w:p>
    <w:p>
      <w:pPr>
        <w:spacing w:line="580" w:lineRule="exact"/>
        <w:contextualSpacing/>
        <w:jc w:val="left"/>
        <w:rPr>
          <w:rFonts w:ascii="仿宋_GB2312" w:eastAsia="仿宋_GB2312"/>
          <w:sz w:val="32"/>
          <w:szCs w:val="32"/>
        </w:rPr>
      </w:pPr>
      <w:r>
        <w:rPr>
          <w:rFonts w:hint="eastAsia" w:ascii="仿宋_GB2312" w:eastAsia="仿宋_GB2312"/>
          <w:sz w:val="32"/>
          <w:szCs w:val="32"/>
        </w:rPr>
        <w:t>各旗区财政局、乡村振兴局、发改委、民委、农牧局、林草局、水利局：</w:t>
      </w:r>
    </w:p>
    <w:p>
      <w:pPr>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现将《鄂尔多斯市财政衔接推进乡村振兴补助资金管理办法》随文印发给你们，请遵照执行。</w:t>
      </w:r>
    </w:p>
    <w:p>
      <w:pPr>
        <w:spacing w:line="580" w:lineRule="exact"/>
        <w:ind w:firstLine="640" w:firstLineChars="200"/>
        <w:contextualSpacing/>
        <w:jc w:val="left"/>
        <w:rPr>
          <w:rFonts w:ascii="仿宋_GB2312" w:eastAsia="仿宋_GB2312"/>
          <w:sz w:val="32"/>
          <w:szCs w:val="32"/>
        </w:rPr>
      </w:pPr>
    </w:p>
    <w:p>
      <w:pPr>
        <w:spacing w:line="58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附件：鄂尔多斯市财政衔接推进乡村振兴补助资金管理办法</w:t>
      </w:r>
    </w:p>
    <w:p>
      <w:pPr>
        <w:spacing w:line="580" w:lineRule="exact"/>
        <w:ind w:left="420" w:leftChars="200"/>
        <w:contextualSpacing/>
        <w:rPr>
          <w:rFonts w:ascii="仿宋_GB2312" w:eastAsia="仿宋_GB2312"/>
          <w:sz w:val="32"/>
          <w:szCs w:val="32"/>
        </w:rPr>
      </w:pPr>
    </w:p>
    <w:p>
      <w:pPr>
        <w:spacing w:line="580" w:lineRule="exact"/>
        <w:ind w:left="420" w:leftChars="200"/>
        <w:contextualSpacing/>
        <w:rPr>
          <w:rFonts w:ascii="仿宋_GB2312" w:eastAsia="仿宋_GB2312"/>
          <w:sz w:val="32"/>
          <w:szCs w:val="32"/>
        </w:rPr>
      </w:pPr>
    </w:p>
    <w:p>
      <w:pPr>
        <w:spacing w:line="580" w:lineRule="exact"/>
        <w:ind w:left="420" w:leftChars="200"/>
        <w:contextualSpacing/>
        <w:jc w:val="center"/>
        <w:rPr>
          <w:rFonts w:ascii="仿宋_GB2312" w:eastAsia="仿宋_GB2312"/>
          <w:sz w:val="32"/>
          <w:szCs w:val="32"/>
        </w:rPr>
      </w:pPr>
      <w:r>
        <w:rPr>
          <w:rFonts w:hint="eastAsia" w:ascii="仿宋_GB2312" w:eastAsia="仿宋_GB2312"/>
          <w:sz w:val="32"/>
          <w:szCs w:val="32"/>
        </w:rPr>
        <w:t>鄂尔多斯市财政局</w:t>
      </w:r>
    </w:p>
    <w:p>
      <w:pPr>
        <w:spacing w:line="580" w:lineRule="exact"/>
        <w:ind w:left="420" w:leftChars="200"/>
        <w:contextualSpacing/>
        <w:jc w:val="center"/>
        <w:rPr>
          <w:rFonts w:ascii="仿宋_GB2312" w:eastAsia="仿宋_GB2312"/>
          <w:sz w:val="32"/>
          <w:szCs w:val="32"/>
        </w:rPr>
      </w:pPr>
    </w:p>
    <w:p>
      <w:pPr>
        <w:spacing w:line="580" w:lineRule="exact"/>
        <w:ind w:left="420" w:leftChars="200"/>
        <w:contextualSpacing/>
        <w:jc w:val="center"/>
        <w:rPr>
          <w:rFonts w:ascii="仿宋_GB2312" w:eastAsia="仿宋_GB2312"/>
          <w:sz w:val="32"/>
          <w:szCs w:val="32"/>
        </w:rPr>
      </w:pPr>
    </w:p>
    <w:p>
      <w:pPr>
        <w:spacing w:line="580" w:lineRule="exact"/>
        <w:ind w:left="420" w:leftChars="200"/>
        <w:contextualSpacing/>
        <w:jc w:val="center"/>
        <w:rPr>
          <w:rFonts w:ascii="仿宋_GB2312" w:eastAsia="仿宋_GB2312"/>
          <w:sz w:val="32"/>
          <w:szCs w:val="32"/>
        </w:rPr>
      </w:pPr>
    </w:p>
    <w:p>
      <w:pPr>
        <w:spacing w:line="580" w:lineRule="exact"/>
        <w:ind w:left="420" w:leftChars="200"/>
        <w:contextualSpacing/>
        <w:jc w:val="center"/>
        <w:rPr>
          <w:rFonts w:ascii="仿宋_GB2312" w:eastAsia="仿宋_GB2312"/>
          <w:sz w:val="32"/>
          <w:szCs w:val="32"/>
        </w:rPr>
      </w:pPr>
      <w:r>
        <w:rPr>
          <w:rFonts w:hint="eastAsia" w:ascii="仿宋_GB2312" w:eastAsia="仿宋_GB2312"/>
          <w:sz w:val="32"/>
          <w:szCs w:val="32"/>
        </w:rPr>
        <w:t>鄂尔多斯市乡村振兴局      鄂尔多斯市发展和改革委员会</w:t>
      </w:r>
    </w:p>
    <w:p>
      <w:pPr>
        <w:spacing w:line="580" w:lineRule="exact"/>
        <w:ind w:left="420" w:leftChars="200"/>
        <w:contextualSpacing/>
        <w:jc w:val="center"/>
        <w:rPr>
          <w:rFonts w:ascii="仿宋_GB2312" w:eastAsia="仿宋_GB2312"/>
          <w:sz w:val="32"/>
          <w:szCs w:val="32"/>
        </w:rPr>
      </w:pPr>
    </w:p>
    <w:p>
      <w:pPr>
        <w:spacing w:line="580" w:lineRule="exact"/>
        <w:ind w:left="420" w:leftChars="200"/>
        <w:contextualSpacing/>
        <w:jc w:val="center"/>
        <w:rPr>
          <w:rFonts w:ascii="仿宋_GB2312" w:eastAsia="仿宋_GB2312"/>
          <w:sz w:val="32"/>
          <w:szCs w:val="32"/>
        </w:rPr>
      </w:pPr>
    </w:p>
    <w:p>
      <w:pPr>
        <w:spacing w:line="580" w:lineRule="exact"/>
        <w:ind w:left="420" w:leftChars="200"/>
        <w:contextualSpacing/>
        <w:jc w:val="center"/>
        <w:rPr>
          <w:rFonts w:ascii="仿宋_GB2312" w:eastAsia="仿宋_GB2312"/>
          <w:sz w:val="32"/>
          <w:szCs w:val="32"/>
        </w:rPr>
      </w:pPr>
    </w:p>
    <w:p>
      <w:pPr>
        <w:spacing w:line="580" w:lineRule="exact"/>
        <w:ind w:left="420" w:leftChars="200"/>
        <w:contextualSpacing/>
        <w:jc w:val="center"/>
        <w:rPr>
          <w:rFonts w:ascii="仿宋_GB2312" w:eastAsia="仿宋_GB2312"/>
          <w:sz w:val="32"/>
          <w:szCs w:val="32"/>
        </w:rPr>
      </w:pPr>
    </w:p>
    <w:p>
      <w:pPr>
        <w:spacing w:line="580" w:lineRule="exact"/>
        <w:ind w:left="420" w:leftChars="200"/>
        <w:contextualSpacing/>
        <w:rPr>
          <w:rFonts w:ascii="仿宋_GB2312" w:eastAsia="仿宋_GB2312"/>
          <w:sz w:val="32"/>
          <w:szCs w:val="32"/>
        </w:rPr>
      </w:pPr>
      <w:r>
        <w:rPr>
          <w:rFonts w:hint="eastAsia" w:ascii="仿宋_GB2312" w:eastAsia="仿宋_GB2312"/>
          <w:sz w:val="32"/>
          <w:szCs w:val="32"/>
        </w:rPr>
        <w:t>鄂尔多斯市民族事务委员会           鄂尔多斯市农牧局</w:t>
      </w:r>
    </w:p>
    <w:p>
      <w:pPr>
        <w:spacing w:line="580" w:lineRule="exact"/>
        <w:ind w:left="420" w:leftChars="200"/>
        <w:contextualSpacing/>
        <w:jc w:val="center"/>
        <w:rPr>
          <w:rFonts w:ascii="仿宋_GB2312" w:eastAsia="仿宋_GB2312"/>
          <w:sz w:val="32"/>
          <w:szCs w:val="32"/>
        </w:rPr>
      </w:pPr>
    </w:p>
    <w:p>
      <w:pPr>
        <w:spacing w:line="580" w:lineRule="exact"/>
        <w:ind w:left="420" w:leftChars="200"/>
        <w:contextualSpacing/>
        <w:jc w:val="center"/>
        <w:rPr>
          <w:rFonts w:ascii="仿宋_GB2312" w:eastAsia="仿宋_GB2312"/>
          <w:sz w:val="32"/>
          <w:szCs w:val="32"/>
        </w:rPr>
      </w:pPr>
    </w:p>
    <w:p>
      <w:pPr>
        <w:spacing w:line="580" w:lineRule="exact"/>
        <w:ind w:left="420" w:leftChars="200"/>
        <w:contextualSpacing/>
        <w:jc w:val="center"/>
        <w:rPr>
          <w:rFonts w:ascii="仿宋_GB2312" w:eastAsia="仿宋_GB2312"/>
          <w:sz w:val="32"/>
          <w:szCs w:val="32"/>
        </w:rPr>
      </w:pPr>
    </w:p>
    <w:p>
      <w:pPr>
        <w:spacing w:line="580" w:lineRule="exact"/>
        <w:ind w:left="420" w:leftChars="200"/>
        <w:contextualSpacing/>
        <w:jc w:val="center"/>
        <w:rPr>
          <w:rFonts w:ascii="仿宋_GB2312" w:eastAsia="仿宋_GB2312"/>
          <w:sz w:val="32"/>
          <w:szCs w:val="32"/>
        </w:rPr>
      </w:pPr>
    </w:p>
    <w:p>
      <w:pPr>
        <w:spacing w:line="580" w:lineRule="exact"/>
        <w:ind w:left="420" w:leftChars="200"/>
        <w:contextualSpacing/>
        <w:jc w:val="center"/>
        <w:rPr>
          <w:rFonts w:ascii="仿宋_GB2312" w:eastAsia="仿宋_GB2312"/>
          <w:sz w:val="32"/>
          <w:szCs w:val="32"/>
        </w:rPr>
      </w:pPr>
      <w:r>
        <w:rPr>
          <w:rFonts w:hint="eastAsia" w:ascii="仿宋_GB2312" w:eastAsia="仿宋_GB2312"/>
          <w:sz w:val="32"/>
          <w:szCs w:val="32"/>
        </w:rPr>
        <w:t>鄂尔多斯市林业和草原局              鄂尔多斯市水利局</w:t>
      </w:r>
    </w:p>
    <w:p>
      <w:pPr>
        <w:spacing w:line="580" w:lineRule="exact"/>
        <w:ind w:firstLine="6080" w:firstLineChars="1900"/>
        <w:rPr>
          <w:rFonts w:ascii="仿宋_GB2312" w:hAnsi="黑体" w:eastAsia="仿宋_GB2312"/>
          <w:sz w:val="32"/>
          <w:szCs w:val="32"/>
        </w:rPr>
      </w:pPr>
      <w:r>
        <w:rPr>
          <w:rFonts w:hint="eastAsia" w:ascii="仿宋_GB2312" w:hAnsi="黑体" w:eastAsia="仿宋_GB2312"/>
          <w:sz w:val="32"/>
          <w:szCs w:val="32"/>
        </w:rPr>
        <w:t>2021年10月20日</w:t>
      </w:r>
    </w:p>
    <w:p>
      <w:pPr>
        <w:spacing w:line="580" w:lineRule="exact"/>
        <w:jc w:val="left"/>
        <w:rPr>
          <w:rFonts w:ascii="黑体" w:hAnsi="黑体" w:eastAsia="黑体"/>
          <w:sz w:val="32"/>
          <w:szCs w:val="32"/>
        </w:rPr>
      </w:pPr>
    </w:p>
    <w:p>
      <w:pPr>
        <w:spacing w:line="58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黑体" w:hAnsi="黑体" w:eastAsia="黑体"/>
          <w:sz w:val="32"/>
          <w:szCs w:val="32"/>
        </w:rPr>
      </w:pPr>
    </w:p>
    <w:p>
      <w:pPr>
        <w:spacing w:line="560" w:lineRule="exact"/>
        <w:jc w:val="left"/>
        <w:rPr>
          <w:rFonts w:ascii="仿宋" w:hAnsi="仿宋" w:eastAsia="仿宋"/>
          <w:sz w:val="32"/>
          <w:szCs w:val="32"/>
        </w:rPr>
      </w:pPr>
      <w:r>
        <w:rPr>
          <w:rFonts w:hint="eastAsia" w:ascii="黑体" w:hAnsi="黑体" w:eastAsia="黑体"/>
          <w:sz w:val="32"/>
          <w:szCs w:val="32"/>
        </w:rPr>
        <w:t>信息公开选项：</w:t>
      </w:r>
      <w:r>
        <w:rPr>
          <w:rFonts w:hint="eastAsia" w:ascii="宋体" w:hAnsi="宋体"/>
          <w:sz w:val="32"/>
          <w:szCs w:val="32"/>
        </w:rPr>
        <w:t>主动公开</w:t>
      </w:r>
    </w:p>
    <w:p>
      <w:pPr>
        <w:ind w:firstLine="320"/>
        <w:rPr>
          <w:rFonts w:ascii="仿宋" w:hAnsi="仿宋" w:eastAsia="仿宋"/>
          <w:sz w:val="28"/>
          <w:szCs w:val="28"/>
        </w:rPr>
      </w:pPr>
      <w:r>
        <w:rPr>
          <w:rFonts w:ascii="仿宋_GB2312" w:eastAsia="仿宋_GB2312"/>
          <w:sz w:val="28"/>
          <w:szCs w:val="28"/>
        </w:rPr>
        <w:pict>
          <v:line id="_x0000_s3078" o:spid="_x0000_s3078" o:spt="20" style="position:absolute;left:0pt;margin-left:0pt;margin-top:28.35pt;height:0pt;width:439.6pt;z-index:251661312;mso-width-relative:page;mso-height-relative:page;" coordsize="21600,21600">
            <v:path arrowok="t"/>
            <v:fill focussize="0,0"/>
            <v:stroke weight="1.5pt"/>
            <v:imagedata o:title=""/>
            <o:lock v:ext="edit"/>
          </v:line>
        </w:pict>
      </w:r>
      <w:r>
        <w:rPr>
          <w:rFonts w:ascii="仿宋" w:hAnsi="仿宋" w:eastAsia="仿宋"/>
          <w:sz w:val="28"/>
          <w:szCs w:val="28"/>
        </w:rPr>
        <w:pict>
          <v:line id="_x0000_s3077" o:spid="_x0000_s3077" o:spt="20" style="position:absolute;left:0pt;margin-left:0pt;margin-top:0pt;height:0pt;width:439.6pt;z-index:251660288;mso-width-relative:page;mso-height-relative:page;" coordsize="21600,21600">
            <v:path arrowok="t"/>
            <v:fill focussize="0,0"/>
            <v:stroke weight="1.5pt"/>
            <v:imagedata o:title=""/>
            <o:lock v:ext="edit"/>
          </v:line>
        </w:pict>
      </w:r>
      <w:bookmarkStart w:id="0" w:name="copytounit"/>
      <w:bookmarkEnd w:id="0"/>
      <w:r>
        <w:rPr>
          <w:rFonts w:hint="eastAsia" w:ascii="仿宋" w:hAnsi="仿宋" w:eastAsia="仿宋"/>
          <w:sz w:val="28"/>
          <w:szCs w:val="28"/>
        </w:rPr>
        <w:t>鄂尔多斯市财政局</w:t>
      </w:r>
      <w:r>
        <w:rPr>
          <w:rFonts w:hint="eastAsia" w:ascii="仿宋_GB2312" w:hAnsi="华文中宋" w:eastAsia="仿宋_GB2312"/>
          <w:sz w:val="28"/>
          <w:szCs w:val="28"/>
        </w:rPr>
        <w:t xml:space="preserve"> </w:t>
      </w:r>
      <w:r>
        <w:rPr>
          <w:rFonts w:hint="eastAsia" w:ascii="仿宋_GB2312" w:eastAsia="仿宋_GB2312"/>
          <w:sz w:val="28"/>
          <w:szCs w:val="28"/>
        </w:rPr>
        <w:t xml:space="preserve">                     </w:t>
      </w:r>
      <w:bookmarkStart w:id="1" w:name="drafttime"/>
      <w:r>
        <w:rPr>
          <w:rFonts w:hint="eastAsia" w:ascii="仿宋_GB2312" w:eastAsia="仿宋_GB2312"/>
          <w:sz w:val="28"/>
          <w:szCs w:val="28"/>
        </w:rPr>
        <w:t xml:space="preserve">  </w:t>
      </w:r>
      <w:r>
        <w:rPr>
          <w:rFonts w:ascii="仿宋_GB2312" w:eastAsia="仿宋_GB2312"/>
          <w:sz w:val="28"/>
          <w:szCs w:val="28"/>
        </w:rPr>
        <w:t>20</w:t>
      </w:r>
      <w:r>
        <w:rPr>
          <w:rFonts w:hint="eastAsia" w:ascii="仿宋_GB2312" w:eastAsia="仿宋_GB2312"/>
          <w:sz w:val="28"/>
          <w:szCs w:val="28"/>
        </w:rPr>
        <w:t>21年10月</w:t>
      </w:r>
      <w:bookmarkEnd w:id="1"/>
      <w:r>
        <w:rPr>
          <w:rFonts w:hint="eastAsia" w:ascii="仿宋_GB2312" w:eastAsia="仿宋_GB2312"/>
          <w:sz w:val="28"/>
          <w:szCs w:val="28"/>
        </w:rPr>
        <w:t>20日</w:t>
      </w:r>
      <w:r>
        <w:rPr>
          <w:rFonts w:hint="eastAsia" w:ascii="仿宋" w:hAnsi="仿宋" w:eastAsia="仿宋"/>
          <w:sz w:val="28"/>
          <w:szCs w:val="28"/>
        </w:rPr>
        <w:t>印发</w:t>
      </w:r>
    </w:p>
    <w:p>
      <w:pPr>
        <w:spacing w:line="560" w:lineRule="exact"/>
        <w:contextualSpacing/>
        <w:jc w:val="center"/>
        <w:rPr>
          <w:rFonts w:eastAsia="方正小标宋简体"/>
          <w:sz w:val="44"/>
          <w:szCs w:val="44"/>
        </w:rPr>
      </w:pPr>
      <w:r>
        <w:rPr>
          <w:rFonts w:hint="eastAsia" w:eastAsia="方正小标宋简体"/>
          <w:sz w:val="44"/>
          <w:szCs w:val="44"/>
        </w:rPr>
        <w:t>鄂尔多斯市财政衔接推进乡村</w:t>
      </w:r>
    </w:p>
    <w:p>
      <w:pPr>
        <w:spacing w:line="560" w:lineRule="exact"/>
        <w:contextualSpacing/>
        <w:jc w:val="center"/>
        <w:rPr>
          <w:rFonts w:eastAsia="仿宋_GB2312"/>
          <w:sz w:val="32"/>
          <w:szCs w:val="32"/>
        </w:rPr>
      </w:pPr>
      <w:r>
        <w:rPr>
          <w:rFonts w:hint="eastAsia" w:eastAsia="方正小标宋简体"/>
          <w:sz w:val="44"/>
          <w:szCs w:val="44"/>
        </w:rPr>
        <w:t>振兴补助资金管理办法</w:t>
      </w:r>
    </w:p>
    <w:p>
      <w:pPr>
        <w:spacing w:line="560" w:lineRule="exact"/>
        <w:contextualSpacing/>
        <w:jc w:val="center"/>
        <w:rPr>
          <w:rFonts w:ascii="黑体" w:hAnsi="黑体" w:eastAsia="黑体"/>
          <w:sz w:val="32"/>
          <w:szCs w:val="32"/>
        </w:rPr>
      </w:pPr>
    </w:p>
    <w:p>
      <w:pPr>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为贯彻落实《鄂尔多斯市委 市人民政府关于实现巩固拓展脱贫攻坚成果同乡村振兴有效衔接的实施意见》精神，加强过渡期鄂尔多斯市财政衔接推进乡村振兴补助资金（以下简称市级衔接资金）管理，根据中央、自治区财政衔接推进乡村振兴补助资金相关管理办法和预算管理的有关规定，结合我市实际，特制定本办法。</w:t>
      </w:r>
    </w:p>
    <w:p>
      <w:pPr>
        <w:tabs>
          <w:tab w:val="left" w:pos="2160"/>
        </w:tabs>
        <w:snapToGrid w:val="0"/>
        <w:spacing w:line="530" w:lineRule="exact"/>
        <w:ind w:firstLine="667" w:firstLineChars="200"/>
        <w:rPr>
          <w:rFonts w:ascii="仿宋_GB2312" w:hAnsi="仿宋" w:eastAsia="仿宋_GB2312"/>
          <w:snapToGrid w:val="0"/>
          <w:spacing w:val="6"/>
          <w:kern w:val="0"/>
          <w:sz w:val="32"/>
          <w:szCs w:val="32"/>
        </w:rPr>
      </w:pPr>
      <w:r>
        <w:rPr>
          <w:rFonts w:hint="eastAsia" w:ascii="仿宋_GB2312" w:hAnsi="仿宋" w:eastAsia="仿宋_GB2312"/>
          <w:b/>
          <w:snapToGrid w:val="0"/>
          <w:spacing w:val="6"/>
          <w:kern w:val="0"/>
          <w:sz w:val="32"/>
          <w:szCs w:val="32"/>
        </w:rPr>
        <w:t xml:space="preserve">第一条 </w:t>
      </w:r>
      <w:r>
        <w:rPr>
          <w:rFonts w:hint="eastAsia" w:ascii="仿宋_GB2312" w:hAnsi="仿宋" w:eastAsia="仿宋_GB2312"/>
          <w:bCs/>
          <w:snapToGrid w:val="0"/>
          <w:spacing w:val="6"/>
          <w:kern w:val="0"/>
          <w:sz w:val="32"/>
          <w:szCs w:val="32"/>
        </w:rPr>
        <w:t>市级</w:t>
      </w:r>
      <w:r>
        <w:rPr>
          <w:rFonts w:hint="eastAsia" w:ascii="仿宋_GB2312" w:hAnsi="仿宋" w:eastAsia="仿宋_GB2312"/>
          <w:snapToGrid w:val="0"/>
          <w:spacing w:val="6"/>
          <w:kern w:val="0"/>
          <w:sz w:val="32"/>
          <w:szCs w:val="32"/>
        </w:rPr>
        <w:t>衔接资金是指市本级一般公共预算安排的用于支持全市巩固拓展脱贫攻坚成果同乡村振兴有效衔接的资金，使用范围包括以下三个领域：</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（一）支持巩固拓展脱贫攻坚成果</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1.健全防止返贫致贫动态监测和帮扶机制,加强监测预警，强化及时帮扶。加强对脱贫不稳定户、边缘易致贫户，以及因病因灾因意外事故等刚性支出较大或收入大幅缩减导致基本生活出现严重困难户的动态监测，对监测帮扶对象采取有针对性的预防性措施和事后帮扶措施，坚决守住防止规模性返贫底线。可安排产业发展、小额信贷贴息、生产经营和劳动技能培训、公益岗位补助、防贫保险补助等支出。同时，低保、医保、养老保险、临时救助等综合保障措施，通过原资金渠道支持。监测预警工作经费通过各级部门预算安排。</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2.“十三五”易地扶贫搬迁后续扶持。支持实施带动搬迁群众发展的项目，从就业需要、产业发展等方面加大扶持力度。提升安置区社区管理服务水平，对集中安置区聘用搬迁群众的公共服务岗位和“一站式”社区综合服务设施建设等费用予以适当补助。</w:t>
      </w:r>
    </w:p>
    <w:p>
      <w:pPr>
        <w:tabs>
          <w:tab w:val="left" w:pos="2160"/>
        </w:tabs>
        <w:snapToGrid w:val="0"/>
        <w:spacing w:line="530" w:lineRule="exact"/>
        <w:ind w:firstLine="664" w:firstLineChars="200"/>
        <w:rPr>
          <w:rFonts w:ascii="仿宋_GB2312" w:hAnsi="Calibri" w:eastAsia="仿宋_GB2312"/>
          <w:snapToGrid w:val="0"/>
          <w:spacing w:val="6"/>
          <w:kern w:val="0"/>
          <w:sz w:val="32"/>
          <w:szCs w:val="32"/>
        </w:rPr>
      </w:pPr>
      <w:r>
        <w:rPr>
          <w:rFonts w:hint="eastAsia" w:ascii="仿宋_GB2312" w:hAnsi="仿宋" w:eastAsia="仿宋_GB2312"/>
          <w:snapToGrid w:val="0"/>
          <w:spacing w:val="6"/>
          <w:kern w:val="0"/>
          <w:sz w:val="32"/>
          <w:szCs w:val="32"/>
        </w:rPr>
        <w:t>3.外出务工脱贫劳动力（含监测帮扶对象）稳定就业，可对跨自治区就业的脱贫劳动力安排一次性交通补助。采取扶贫车间、以工代赈、生产奖补、劳务补助等方式,促进返乡在乡脱贫劳动力发展产业和就业增收。继续向符合条件的脱贫家庭（含监测帮扶对象家庭）安排“雨露计划”补助。</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（二）支持衔接推进乡村振兴</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1.培育和壮大欠发达地区特色优势产业并逐年提高资金占比，2021年各旗区用于产业发展的资金规模占比原则上不得低于下达旗区资金总规模的50%，2022-2025年各旗区用于产业发展的资金占比，参照国家、自治区对中央、自治区衔接资金的规定执行。注重特色优势产业后续长期培育，支持欠发达地区集中资金发展壮大优势特色农牧业、农畜产品加工业、乡村旅游、电商产业、生态产业等（含必要的产业配套基础设施）,优先选择农企利益联结紧密型项目。推动产销对接和消费帮扶，支持欠发达地区农产品和食品仓储保鲜、冷链物流设施建设，以及农产品流通企业、电商、批发市场与区域特色产业精准联接；支持推进产地农产品分级、包装、追溯标准化，解决农产品“卖难”问题。支持脱贫嘎查村发展壮大村级集体经济。</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2.补齐必要的农村牧区人居环境整治和小型公益性基础设施建设短板。主要包括水、电、路、网等农牧业生产配套设施，以及垃圾清运等小型公益性生活设施。教育、卫生、养老服务、文化等农村牧区基本公共服务通过原资金渠道支持。</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3.实施工代赈项目、欠发达国有林场巩固发展，少数民族特色产业发展项目（衔接资金中少数民族发展方向），包括民族医药产业、民族文化产业、民族手工艺品加工等。</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4.安全饮水巩固提升及水质监测。</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5.农牧民职业技能培训。</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（三）符合中央、自治区、市政策要求的巩固拓展脱贫攻坚成果同乡村振兴有效衔接的其他相关支出。</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衔接资金不得用于与巩固拓展脱贫攻坚成果和推进欠发达地区乡村振兴无关的支出，包括：单位基本支出、交通工具及通讯设备、修建楼堂馆所、各种奖金津贴和福利补助、偿还债务、设立基金和垫资等。偿还易地扶贫搬迁债务按有关规定执行。</w:t>
      </w:r>
    </w:p>
    <w:p>
      <w:pPr>
        <w:tabs>
          <w:tab w:val="left" w:pos="2160"/>
        </w:tabs>
        <w:snapToGrid w:val="0"/>
        <w:spacing w:line="530" w:lineRule="exact"/>
        <w:ind w:firstLine="667" w:firstLineChars="200"/>
        <w:rPr>
          <w:rFonts w:ascii="仿宋_GB2312" w:hAnsi="仿宋" w:eastAsia="仿宋_GB2312"/>
          <w:snapToGrid w:val="0"/>
          <w:spacing w:val="6"/>
          <w:kern w:val="0"/>
          <w:sz w:val="32"/>
          <w:szCs w:val="32"/>
        </w:rPr>
      </w:pPr>
      <w:r>
        <w:rPr>
          <w:rFonts w:hint="eastAsia" w:ascii="仿宋_GB2312" w:hAnsi="仿宋" w:eastAsia="仿宋_GB2312"/>
          <w:b/>
          <w:bCs/>
          <w:snapToGrid w:val="0"/>
          <w:spacing w:val="6"/>
          <w:kern w:val="0"/>
          <w:sz w:val="32"/>
          <w:szCs w:val="32"/>
        </w:rPr>
        <w:t>第二条</w:t>
      </w:r>
      <w:r>
        <w:rPr>
          <w:rFonts w:hint="eastAsia" w:ascii="仿宋_GB2312" w:hAnsi="仿宋" w:eastAsia="仿宋_GB2312"/>
          <w:snapToGrid w:val="0"/>
          <w:spacing w:val="6"/>
          <w:kern w:val="0"/>
          <w:sz w:val="32"/>
          <w:szCs w:val="32"/>
        </w:rPr>
        <w:t xml:space="preserve"> 市级</w:t>
      </w:r>
      <w:r>
        <w:rPr>
          <w:rFonts w:hint="eastAsia" w:ascii="仿宋_GB2312" w:hAnsi="仿宋" w:eastAsia="仿宋_GB2312"/>
          <w:bCs/>
          <w:snapToGrid w:val="0"/>
          <w:spacing w:val="6"/>
          <w:kern w:val="0"/>
          <w:sz w:val="32"/>
          <w:szCs w:val="32"/>
        </w:rPr>
        <w:t>衔接资金按照</w:t>
      </w:r>
      <w:r>
        <w:rPr>
          <w:rFonts w:hint="eastAsia" w:ascii="仿宋_GB2312" w:hAnsi="仿宋" w:eastAsia="仿宋_GB2312"/>
          <w:snapToGrid w:val="0"/>
          <w:spacing w:val="6"/>
          <w:kern w:val="0"/>
          <w:sz w:val="32"/>
          <w:szCs w:val="32"/>
        </w:rPr>
        <w:t>少数民族发展、</w:t>
      </w:r>
      <w:r>
        <w:rPr>
          <w:rFonts w:hint="eastAsia" w:ascii="仿宋_GB2312" w:hAnsi="仿宋" w:eastAsia="仿宋_GB2312"/>
          <w:bCs/>
          <w:snapToGrid w:val="0"/>
          <w:spacing w:val="6"/>
          <w:kern w:val="0"/>
          <w:sz w:val="32"/>
          <w:szCs w:val="32"/>
        </w:rPr>
        <w:t>巩固拓展脱贫攻坚成果</w:t>
      </w:r>
      <w:r>
        <w:rPr>
          <w:rFonts w:hint="eastAsia" w:ascii="仿宋_GB2312" w:hAnsi="仿宋" w:eastAsia="仿宋_GB2312"/>
          <w:snapToGrid w:val="0"/>
          <w:spacing w:val="6"/>
          <w:kern w:val="0"/>
          <w:sz w:val="32"/>
          <w:szCs w:val="32"/>
        </w:rPr>
        <w:t>和乡村振兴、以工代赈、欠发达国有林场巩固提升按因素进行测算分配，因素包括：相关人群数量及结构、相关人群收入、政策因素、绩效等考核结果等，并根据实际情况进行综合平衡。各项任务按照上述因素分别确定具体测算指标。</w:t>
      </w:r>
    </w:p>
    <w:p>
      <w:pPr>
        <w:snapToGrid w:val="0"/>
        <w:spacing w:line="530" w:lineRule="exact"/>
        <w:ind w:firstLine="667" w:firstLineChars="200"/>
        <w:rPr>
          <w:rFonts w:ascii="仿宋_GB2312" w:hAnsi="仿宋" w:eastAsia="仿宋_GB2312"/>
          <w:snapToGrid w:val="0"/>
          <w:spacing w:val="6"/>
          <w:kern w:val="0"/>
          <w:sz w:val="32"/>
          <w:szCs w:val="32"/>
        </w:rPr>
      </w:pPr>
      <w:r>
        <w:rPr>
          <w:rFonts w:hint="eastAsia" w:ascii="仿宋_GB2312" w:hAnsi="仿宋" w:eastAsia="仿宋_GB2312"/>
          <w:b/>
          <w:snapToGrid w:val="0"/>
          <w:spacing w:val="6"/>
          <w:kern w:val="0"/>
          <w:sz w:val="32"/>
          <w:szCs w:val="32"/>
        </w:rPr>
        <w:t xml:space="preserve">第三条 </w:t>
      </w:r>
      <w:r>
        <w:rPr>
          <w:rFonts w:hint="eastAsia" w:ascii="仿宋_GB2312" w:hAnsi="仿宋" w:eastAsia="仿宋_GB2312"/>
          <w:bCs/>
          <w:snapToGrid w:val="0"/>
          <w:spacing w:val="6"/>
          <w:kern w:val="0"/>
          <w:sz w:val="32"/>
          <w:szCs w:val="32"/>
        </w:rPr>
        <w:t>市级</w:t>
      </w:r>
      <w:r>
        <w:rPr>
          <w:rFonts w:hint="eastAsia" w:ascii="仿宋_GB2312" w:hAnsi="仿宋" w:eastAsia="仿宋_GB2312"/>
          <w:snapToGrid w:val="0"/>
          <w:spacing w:val="6"/>
          <w:kern w:val="0"/>
          <w:sz w:val="32"/>
          <w:szCs w:val="32"/>
        </w:rPr>
        <w:t>衔接资金应当统筹安排使用，形成合力。综合考虑脱贫旗区情况，实行分类分档支持。对脱贫旗区和自治区乡村振兴重点帮扶旗区予以倾斜支持。继续按规定开展统筹整合使用财政涉农涉牧资金试点工作的脱贫旗区，资金使用按照统筹整合有关要求执行。</w:t>
      </w:r>
    </w:p>
    <w:p>
      <w:pPr>
        <w:tabs>
          <w:tab w:val="left" w:pos="2160"/>
        </w:tabs>
        <w:snapToGrid w:val="0"/>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市旗两级在分配市级衔接资金时，对市级重点帮扶旗区、嘎查村和示范旗区、嘎查村予以倾斜支持。资金项目审批权限下放到旗区，强化旗区管理主体责任，旗区可统筹安排不超过35%的市级衔接资金，支持非贫困嘎查村发展产业、补齐必要的基础设施短板，以及旗区乡村振兴规划相关项目。</w:t>
      </w:r>
    </w:p>
    <w:p>
      <w:pPr>
        <w:snapToGrid w:val="0"/>
        <w:spacing w:line="530" w:lineRule="exact"/>
        <w:ind w:firstLine="667" w:firstLineChars="200"/>
        <w:rPr>
          <w:rFonts w:ascii="Calibri" w:hAnsi="Calibri" w:eastAsia="仿宋_GB2312"/>
          <w:snapToGrid w:val="0"/>
          <w:spacing w:val="6"/>
          <w:kern w:val="0"/>
          <w:sz w:val="32"/>
          <w:szCs w:val="22"/>
        </w:rPr>
      </w:pPr>
      <w:r>
        <w:rPr>
          <w:rFonts w:hint="eastAsia" w:ascii="仿宋_GB2312" w:hAnsi="仿宋" w:eastAsia="仿宋_GB2312"/>
          <w:b/>
          <w:bCs/>
          <w:snapToGrid w:val="0"/>
          <w:spacing w:val="6"/>
          <w:kern w:val="0"/>
          <w:sz w:val="32"/>
          <w:szCs w:val="32"/>
        </w:rPr>
        <w:t>第四条</w:t>
      </w:r>
      <w:r>
        <w:rPr>
          <w:rFonts w:hint="eastAsia" w:ascii="仿宋_GB2312" w:hAnsi="仿宋" w:eastAsia="仿宋_GB2312"/>
          <w:snapToGrid w:val="0"/>
          <w:spacing w:val="6"/>
          <w:kern w:val="0"/>
          <w:sz w:val="32"/>
          <w:szCs w:val="32"/>
        </w:rPr>
        <w:t xml:space="preserve"> 各旗区要建立完善巩固拓展脱贫攻坚成果和乡村振兴项目库，提前做好项目储备，严格项目论证入库，市级衔接资金支持的项目原则上要从项目库选择，且符合本办法要求。属于政府采购管理范围的项目，执行政府采购相关规定。对于公开招标数额标准以下的且村级具备相关项目建设运营能力的村级微小型项目，可按照村民民主议事方式直接委托村级组织自建自营。</w:t>
      </w:r>
      <w:r>
        <w:rPr>
          <w:rFonts w:hint="eastAsia" w:ascii="Calibri" w:hAnsi="Calibri" w:eastAsia="仿宋_GB2312"/>
          <w:snapToGrid w:val="0"/>
          <w:spacing w:val="6"/>
          <w:kern w:val="0"/>
          <w:sz w:val="32"/>
          <w:szCs w:val="22"/>
        </w:rPr>
        <w:t xml:space="preserve"> 各地要</w:t>
      </w:r>
      <w:r>
        <w:rPr>
          <w:rFonts w:hint="eastAsia" w:ascii="仿宋_GB2312" w:hAnsi="仿宋" w:eastAsia="仿宋_GB2312"/>
          <w:snapToGrid w:val="0"/>
          <w:spacing w:val="6"/>
          <w:kern w:val="0"/>
          <w:sz w:val="32"/>
          <w:szCs w:val="32"/>
        </w:rPr>
        <w:t>加强衔接资金和项目管理，落实绩效管理要求，全面推行公开公示制度，</w:t>
      </w:r>
      <w:r>
        <w:rPr>
          <w:rFonts w:hint="eastAsia" w:ascii="Calibri" w:hAnsi="Calibri" w:eastAsia="仿宋_GB2312"/>
          <w:snapToGrid w:val="0"/>
          <w:spacing w:val="6"/>
          <w:kern w:val="0"/>
          <w:sz w:val="32"/>
          <w:szCs w:val="22"/>
        </w:rPr>
        <w:t>加快预算执行，提高资金使用效益。</w:t>
      </w:r>
    </w:p>
    <w:p>
      <w:pPr>
        <w:snapToGrid w:val="0"/>
        <w:spacing w:line="530" w:lineRule="exact"/>
        <w:ind w:firstLine="654" w:firstLineChars="197"/>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市级按照不超过</w:t>
      </w:r>
      <w:r>
        <w:rPr>
          <w:rFonts w:ascii="仿宋_GB2312" w:hAnsi="仿宋" w:eastAsia="仿宋_GB2312"/>
          <w:snapToGrid w:val="0"/>
          <w:spacing w:val="6"/>
          <w:kern w:val="0"/>
          <w:sz w:val="32"/>
          <w:szCs w:val="32"/>
        </w:rPr>
        <w:t>1%的</w:t>
      </w:r>
      <w:r>
        <w:rPr>
          <w:rFonts w:hint="eastAsia" w:ascii="仿宋_GB2312" w:hAnsi="仿宋" w:eastAsia="仿宋_GB2312"/>
          <w:snapToGrid w:val="0"/>
          <w:spacing w:val="6"/>
          <w:kern w:val="0"/>
          <w:sz w:val="32"/>
          <w:szCs w:val="32"/>
        </w:rPr>
        <w:t>比例从市级衔接资金中提取项目管理费，由市旗两级使用。项目管理费主要</w:t>
      </w:r>
      <w:r>
        <w:rPr>
          <w:rFonts w:ascii="仿宋_GB2312" w:hAnsi="仿宋" w:eastAsia="仿宋_GB2312"/>
          <w:snapToGrid w:val="0"/>
          <w:spacing w:val="6"/>
          <w:kern w:val="0"/>
          <w:sz w:val="32"/>
          <w:szCs w:val="32"/>
        </w:rPr>
        <w:t>用于项目前期设计、评审、招标</w:t>
      </w:r>
      <w:r>
        <w:rPr>
          <w:rFonts w:hint="eastAsia" w:ascii="仿宋_GB2312" w:hAnsi="仿宋" w:eastAsia="仿宋_GB2312"/>
          <w:snapToGrid w:val="0"/>
          <w:spacing w:val="6"/>
          <w:kern w:val="0"/>
          <w:sz w:val="32"/>
          <w:szCs w:val="32"/>
        </w:rPr>
        <w:t>、监理</w:t>
      </w:r>
      <w:r>
        <w:rPr>
          <w:rFonts w:ascii="仿宋_GB2312" w:hAnsi="仿宋" w:eastAsia="仿宋_GB2312"/>
          <w:snapToGrid w:val="0"/>
          <w:spacing w:val="6"/>
          <w:kern w:val="0"/>
          <w:sz w:val="32"/>
          <w:szCs w:val="32"/>
        </w:rPr>
        <w:t>以及验收等与项目管理相关的支出</w:t>
      </w:r>
      <w:r>
        <w:rPr>
          <w:rFonts w:hint="eastAsia" w:ascii="仿宋_GB2312" w:hAnsi="仿宋" w:eastAsia="仿宋_GB2312"/>
          <w:snapToGrid w:val="0"/>
          <w:spacing w:val="6"/>
          <w:kern w:val="0"/>
          <w:sz w:val="32"/>
          <w:szCs w:val="32"/>
        </w:rPr>
        <w:t>，以及</w:t>
      </w:r>
      <w:r>
        <w:rPr>
          <w:rFonts w:hint="eastAsia" w:ascii="仿宋_GB2312" w:hAnsi="仿宋" w:eastAsia="仿宋_GB2312"/>
          <w:snapToGrid w:val="0"/>
          <w:spacing w:val="6"/>
          <w:kern w:val="0"/>
          <w:sz w:val="32"/>
          <w:szCs w:val="32"/>
          <w:lang w:eastAsia="zh-CN"/>
        </w:rPr>
        <w:t>巩固拓展脱贫攻坚成果</w:t>
      </w:r>
      <w:r>
        <w:rPr>
          <w:rFonts w:hint="eastAsia" w:ascii="仿宋_GB2312" w:hAnsi="仿宋" w:eastAsia="仿宋_GB2312"/>
          <w:snapToGrid w:val="0"/>
          <w:spacing w:val="6"/>
          <w:kern w:val="0"/>
          <w:sz w:val="32"/>
          <w:szCs w:val="32"/>
        </w:rPr>
        <w:t>和衔接推进乡村振兴规划编制、项目可行性研究、招标采购、检查验收、绩效管理、项目公告公示、扶贫项目资产管护、成果宣传、报账管理、档案管理、购买第三方服务等项目管理相关支出。</w:t>
      </w:r>
    </w:p>
    <w:p>
      <w:pPr>
        <w:spacing w:line="530" w:lineRule="exact"/>
        <w:ind w:firstLine="667" w:firstLineChars="200"/>
        <w:rPr>
          <w:rFonts w:ascii="仿宋_GB2312" w:hAnsi="仿宋" w:eastAsia="仿宋_GB2312"/>
          <w:snapToGrid w:val="0"/>
          <w:spacing w:val="6"/>
          <w:kern w:val="0"/>
          <w:sz w:val="32"/>
          <w:szCs w:val="32"/>
        </w:rPr>
      </w:pPr>
      <w:r>
        <w:rPr>
          <w:rFonts w:hint="eastAsia" w:ascii="仿宋_GB2312" w:hAnsi="仿宋" w:eastAsia="仿宋_GB2312"/>
          <w:b/>
          <w:bCs/>
          <w:snapToGrid w:val="0"/>
          <w:spacing w:val="6"/>
          <w:kern w:val="0"/>
          <w:sz w:val="32"/>
          <w:szCs w:val="32"/>
        </w:rPr>
        <w:t>第五条</w:t>
      </w:r>
      <w:r>
        <w:rPr>
          <w:rFonts w:hint="eastAsia" w:ascii="仿宋_GB2312" w:hAnsi="仿宋" w:eastAsia="仿宋_GB2312"/>
          <w:snapToGrid w:val="0"/>
          <w:spacing w:val="6"/>
          <w:kern w:val="0"/>
          <w:sz w:val="32"/>
          <w:szCs w:val="32"/>
        </w:rPr>
        <w:t xml:space="preserve"> 市级财政部门负责预算安排、审核资金分配建议方案和下达资金，指导市级乡村振兴、发展改革、民委、农牧、林草、水利等行业主管部门（以下简称行业主管部门）及旗区加强资金监管,绩效管理由财政、乡村振兴部门牵头，各相关行业主管部门配合落实。</w:t>
      </w:r>
    </w:p>
    <w:p>
      <w:pPr>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各行业主管部门负责提出资金分配建议方案，按照“谁管项目、谁用资金、谁负主责、权责对等”的原则，落实资金和项目使用管理、绩效管理、公告公示制度、监督管理等工作，按照权责对等原则落实监管责任。</w:t>
      </w:r>
    </w:p>
    <w:p>
      <w:pPr>
        <w:spacing w:line="530" w:lineRule="exact"/>
        <w:ind w:firstLine="667" w:firstLineChars="200"/>
        <w:rPr>
          <w:rFonts w:ascii="仿宋_GB2312" w:hAnsi="仿宋" w:eastAsia="仿宋_GB2312"/>
          <w:snapToGrid w:val="0"/>
          <w:spacing w:val="6"/>
          <w:kern w:val="0"/>
          <w:sz w:val="32"/>
          <w:szCs w:val="32"/>
        </w:rPr>
      </w:pPr>
      <w:r>
        <w:rPr>
          <w:rFonts w:hint="eastAsia" w:ascii="仿宋_GB2312" w:hAnsi="仿宋" w:eastAsia="仿宋_GB2312"/>
          <w:b/>
          <w:bCs/>
          <w:snapToGrid w:val="0"/>
          <w:spacing w:val="6"/>
          <w:kern w:val="0"/>
          <w:sz w:val="32"/>
          <w:szCs w:val="32"/>
        </w:rPr>
        <w:t>第六条</w:t>
      </w:r>
      <w:r>
        <w:rPr>
          <w:rFonts w:hint="eastAsia" w:ascii="仿宋_GB2312" w:hAnsi="仿宋" w:eastAsia="仿宋_GB2312"/>
          <w:snapToGrid w:val="0"/>
          <w:spacing w:val="6"/>
          <w:kern w:val="0"/>
          <w:sz w:val="32"/>
          <w:szCs w:val="32"/>
        </w:rPr>
        <w:t xml:space="preserve"> 市级财政部门收到中央、自治区下达的衔接资金后第一时间通知市直相关部门，市直相关部门根据职责分工于25日内提出资金分配意见报送市级财政部门，市级财政部门审核后5日内下达资金至旗区。</w:t>
      </w:r>
    </w:p>
    <w:p>
      <w:pPr>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市乡村振兴局、发展改革委、民委、农牧局、林草局、水利局等行业主管部门根据职责分工，在市财政批准预算后30日内提出当年衔接资金分配建议方案送达市财政局，市财政局根据预算管理要求、年度预算安排，结合行业主管部门资金分配建议方案研究确定分配方案，在20日内将衔接资金预算下达旗区财政部门，旗区财政部门严格按照法定时限下达资金，并抄送市财政局，资金拨付按国库支付规定执行。</w:t>
      </w:r>
    </w:p>
    <w:p>
      <w:pPr>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市旗两级财政部门应会同乡村振兴部门加强对财政衔接资金支出情况的调度分析，定期上报资金安排和支出情况。资金支出进度原则上不得低于序时进度。对未达到序时进度的旗区，在衔接资金绩效评价中按有关规定扣分并相应扣减下一年度衔接资金数量。</w:t>
      </w:r>
    </w:p>
    <w:p>
      <w:pPr>
        <w:spacing w:line="530" w:lineRule="exact"/>
        <w:ind w:firstLine="664" w:firstLineChars="200"/>
        <w:rPr>
          <w:rFonts w:ascii="仿宋_GB2312" w:hAnsi="仿宋" w:eastAsia="仿宋_GB2312"/>
          <w:snapToGrid w:val="0"/>
          <w:spacing w:val="6"/>
          <w:kern w:val="0"/>
          <w:sz w:val="32"/>
          <w:szCs w:val="32"/>
        </w:rPr>
      </w:pPr>
      <w:r>
        <w:rPr>
          <w:rFonts w:hint="eastAsia" w:ascii="仿宋_GB2312" w:hAnsi="仿宋" w:eastAsia="仿宋_GB2312"/>
          <w:snapToGrid w:val="0"/>
          <w:spacing w:val="6"/>
          <w:kern w:val="0"/>
          <w:sz w:val="32"/>
          <w:szCs w:val="32"/>
        </w:rPr>
        <w:t>市乡村振兴局应会同市直相关部门督促旗区加快前期事务办理和项目实施，按照项目进度和相关规定向市财政部门申请资金，财政及时审核拨付资金。</w:t>
      </w:r>
    </w:p>
    <w:p>
      <w:pPr>
        <w:spacing w:line="530" w:lineRule="exact"/>
        <w:ind w:firstLine="657" w:firstLineChars="197"/>
        <w:rPr>
          <w:rFonts w:ascii="仿宋_GB2312" w:hAnsi="仿宋" w:eastAsia="仿宋_GB2312"/>
          <w:snapToGrid w:val="0"/>
          <w:spacing w:val="6"/>
          <w:kern w:val="0"/>
          <w:sz w:val="32"/>
          <w:szCs w:val="32"/>
        </w:rPr>
      </w:pPr>
      <w:r>
        <w:rPr>
          <w:rFonts w:hint="eastAsia" w:ascii="仿宋_GB2312" w:hAnsi="仿宋" w:eastAsia="仿宋_GB2312"/>
          <w:b/>
          <w:bCs/>
          <w:snapToGrid w:val="0"/>
          <w:spacing w:val="6"/>
          <w:kern w:val="0"/>
          <w:sz w:val="32"/>
          <w:szCs w:val="32"/>
        </w:rPr>
        <w:t>第七条</w:t>
      </w:r>
      <w:r>
        <w:rPr>
          <w:rFonts w:hint="eastAsia" w:ascii="仿宋_GB2312" w:hAnsi="仿宋" w:eastAsia="仿宋_GB2312"/>
          <w:snapToGrid w:val="0"/>
          <w:spacing w:val="6"/>
          <w:kern w:val="0"/>
          <w:sz w:val="32"/>
          <w:szCs w:val="32"/>
        </w:rPr>
        <w:t xml:space="preserve"> 市直各行业主管部门按照工作职责和要求，对衔接资金使用管理情况开展预算绩效管理，市财政局适时对衔接资金使用情况开展绩效评价，并对各行业主管部门绩效评价结果开展抽查复核。各级财政和行业主管部门按要求配合审计、纪检监察、检察机关做好衔接资金和项目的审计、检查等工作。</w:t>
      </w:r>
    </w:p>
    <w:p>
      <w:pPr>
        <w:adjustRightInd w:val="0"/>
        <w:snapToGrid w:val="0"/>
        <w:spacing w:line="530" w:lineRule="exact"/>
        <w:ind w:firstLine="645"/>
        <w:rPr>
          <w:rFonts w:ascii="仿宋_GB2312" w:hAnsi="仿宋" w:eastAsia="仿宋_GB2312" w:cs="华文仿宋"/>
          <w:snapToGrid w:val="0"/>
          <w:spacing w:val="6"/>
          <w:kern w:val="0"/>
          <w:sz w:val="32"/>
          <w:szCs w:val="32"/>
        </w:rPr>
      </w:pPr>
      <w:r>
        <w:rPr>
          <w:rFonts w:hint="eastAsia" w:ascii="仿宋_GB2312" w:hAnsi="仿宋" w:eastAsia="仿宋_GB2312"/>
          <w:snapToGrid w:val="0"/>
          <w:spacing w:val="6"/>
          <w:kern w:val="0"/>
          <w:sz w:val="32"/>
          <w:szCs w:val="32"/>
        </w:rPr>
        <w:t>各级财政和行业主管部门及其工作人员在衔接资金分配、使用管理等工作中，存在违反本办法规定，以及</w:t>
      </w:r>
      <w:r>
        <w:rPr>
          <w:rFonts w:hint="eastAsia" w:ascii="仿宋_GB2312" w:hAnsi="仿宋" w:eastAsia="仿宋_GB2312" w:cs="华文仿宋"/>
          <w:snapToGrid w:val="0"/>
          <w:spacing w:val="6"/>
          <w:kern w:val="0"/>
          <w:sz w:val="32"/>
          <w:szCs w:val="32"/>
        </w:rPr>
        <w:t>滥用职权、玩忽职守、徇私舞弊</w:t>
      </w:r>
      <w:r>
        <w:rPr>
          <w:rFonts w:hint="eastAsia" w:ascii="仿宋_GB2312" w:hAnsi="仿宋" w:eastAsia="仿宋_GB2312"/>
          <w:snapToGrid w:val="0"/>
          <w:spacing w:val="6"/>
          <w:kern w:val="0"/>
          <w:sz w:val="32"/>
          <w:szCs w:val="32"/>
        </w:rPr>
        <w:t>等违法违纪行为</w:t>
      </w:r>
      <w:r>
        <w:rPr>
          <w:rFonts w:ascii="仿宋_GB2312" w:hAnsi="仿宋" w:eastAsia="仿宋_GB2312"/>
          <w:snapToGrid w:val="0"/>
          <w:spacing w:val="6"/>
          <w:kern w:val="0"/>
          <w:sz w:val="32"/>
          <w:szCs w:val="32"/>
        </w:rPr>
        <w:t>的</w:t>
      </w:r>
      <w:r>
        <w:rPr>
          <w:rFonts w:hint="eastAsia" w:ascii="仿宋_GB2312" w:hAnsi="仿宋" w:eastAsia="仿宋_GB2312"/>
          <w:snapToGrid w:val="0"/>
          <w:spacing w:val="6"/>
          <w:kern w:val="0"/>
          <w:sz w:val="32"/>
          <w:szCs w:val="32"/>
        </w:rPr>
        <w:t>，按照</w:t>
      </w:r>
      <w:r>
        <w:rPr>
          <w:rFonts w:hint="eastAsia" w:ascii="仿宋_GB2312" w:hAnsi="仿宋" w:eastAsia="仿宋_GB2312" w:cs="华文仿宋"/>
          <w:snapToGrid w:val="0"/>
          <w:spacing w:val="6"/>
          <w:kern w:val="0"/>
          <w:sz w:val="32"/>
          <w:szCs w:val="32"/>
        </w:rPr>
        <w:t>国家有关规定追究相应责任；涉嫌犯罪的，移送有关国家机关处理。</w:t>
      </w:r>
    </w:p>
    <w:p>
      <w:pPr>
        <w:snapToGrid w:val="0"/>
        <w:spacing w:line="530" w:lineRule="exact"/>
        <w:ind w:firstLine="657" w:firstLineChars="197"/>
        <w:rPr>
          <w:rFonts w:ascii="仿宋_GB2312" w:hAnsi="仿宋" w:eastAsia="仿宋_GB2312"/>
          <w:snapToGrid w:val="0"/>
          <w:spacing w:val="6"/>
          <w:kern w:val="0"/>
          <w:sz w:val="32"/>
          <w:szCs w:val="32"/>
        </w:rPr>
      </w:pPr>
      <w:r>
        <w:rPr>
          <w:rFonts w:hint="eastAsia" w:ascii="仿宋_GB2312" w:hAnsi="仿宋" w:eastAsia="仿宋_GB2312"/>
          <w:b/>
          <w:snapToGrid w:val="0"/>
          <w:spacing w:val="6"/>
          <w:kern w:val="0"/>
          <w:sz w:val="32"/>
          <w:szCs w:val="32"/>
        </w:rPr>
        <w:t xml:space="preserve">第八条 </w:t>
      </w:r>
      <w:r>
        <w:rPr>
          <w:rFonts w:hint="eastAsia" w:ascii="仿宋_GB2312" w:hAnsi="仿宋" w:eastAsia="仿宋_GB2312"/>
          <w:snapToGrid w:val="0"/>
          <w:spacing w:val="6"/>
          <w:kern w:val="0"/>
          <w:sz w:val="32"/>
          <w:szCs w:val="32"/>
        </w:rPr>
        <w:t>各旗区财政部门可会同本级行业主管部门，根据本办法制定具体资金管理办法。旗区财政部门要根据巩固拓展脱贫攻坚成果同乡村振兴有效衔接的任务需要及财力情况，每年预算安排一定规模的本级衔接资金，保持投入力度总体稳定。</w:t>
      </w:r>
    </w:p>
    <w:p>
      <w:pPr>
        <w:spacing w:line="530" w:lineRule="exact"/>
        <w:ind w:firstLine="597" w:firstLineChars="179"/>
        <w:rPr>
          <w:rFonts w:ascii="Calibri" w:hAnsi="Calibri" w:eastAsia="仿宋_GB2312"/>
          <w:snapToGrid w:val="0"/>
          <w:spacing w:val="6"/>
          <w:kern w:val="0"/>
          <w:sz w:val="30"/>
          <w:szCs w:val="22"/>
        </w:rPr>
      </w:pPr>
      <w:r>
        <w:rPr>
          <w:rFonts w:hint="eastAsia" w:ascii="仿宋_GB2312" w:hAnsi="仿宋" w:eastAsia="仿宋_GB2312"/>
          <w:b/>
          <w:snapToGrid w:val="0"/>
          <w:spacing w:val="6"/>
          <w:kern w:val="0"/>
          <w:sz w:val="32"/>
          <w:szCs w:val="32"/>
        </w:rPr>
        <w:t xml:space="preserve">第九条 </w:t>
      </w:r>
      <w:r>
        <w:rPr>
          <w:rFonts w:hint="eastAsia" w:ascii="仿宋_GB2312" w:hAnsi="仿宋" w:eastAsia="仿宋_GB2312"/>
          <w:snapToGrid w:val="0"/>
          <w:spacing w:val="6"/>
          <w:kern w:val="0"/>
          <w:sz w:val="32"/>
          <w:szCs w:val="32"/>
        </w:rPr>
        <w:t>本办法自印发之日起施行，由市财政局会同市相关行业主管部门负责解释。</w:t>
      </w:r>
      <w:r>
        <w:rPr>
          <w:rFonts w:hint="eastAsia" w:ascii="仿宋_GB2312" w:hAnsi="Calibri" w:eastAsia="仿宋_GB2312"/>
          <w:snapToGrid w:val="0"/>
          <w:spacing w:val="6"/>
          <w:kern w:val="0"/>
          <w:sz w:val="32"/>
          <w:szCs w:val="32"/>
        </w:rPr>
        <w:t>《鄂尔多斯市财政局 市扶贫开发办公室 市发展和改革委员会 市民族事务委员会 市农牧局 市林业和草原局 市水利局 市医保局 关于印发</w:t>
      </w:r>
      <w:r>
        <w:rPr>
          <w:rFonts w:ascii="仿宋_GB2312" w:hAnsi="Calibri" w:eastAsia="仿宋_GB2312"/>
          <w:snapToGrid w:val="0"/>
          <w:spacing w:val="6"/>
          <w:kern w:val="0"/>
          <w:sz w:val="32"/>
          <w:szCs w:val="32"/>
        </w:rPr>
        <w:t>&lt;</w:t>
      </w:r>
      <w:r>
        <w:rPr>
          <w:rFonts w:hint="eastAsia" w:ascii="仿宋_GB2312" w:hAnsi="Calibri" w:eastAsia="仿宋_GB2312"/>
          <w:snapToGrid w:val="0"/>
          <w:spacing w:val="6"/>
          <w:kern w:val="0"/>
          <w:sz w:val="32"/>
          <w:szCs w:val="32"/>
        </w:rPr>
        <w:t>鄂尔多斯市财政专项扶贫资金管理办法</w:t>
      </w:r>
      <w:r>
        <w:rPr>
          <w:rFonts w:ascii="仿宋_GB2312" w:hAnsi="Calibri" w:eastAsia="仿宋_GB2312"/>
          <w:snapToGrid w:val="0"/>
          <w:spacing w:val="6"/>
          <w:kern w:val="0"/>
          <w:sz w:val="32"/>
          <w:szCs w:val="32"/>
        </w:rPr>
        <w:t>&gt;</w:t>
      </w:r>
      <w:r>
        <w:rPr>
          <w:rFonts w:hint="eastAsia" w:ascii="仿宋_GB2312" w:hAnsi="Calibri" w:eastAsia="仿宋_GB2312"/>
          <w:snapToGrid w:val="0"/>
          <w:spacing w:val="6"/>
          <w:kern w:val="0"/>
          <w:sz w:val="32"/>
          <w:szCs w:val="32"/>
        </w:rPr>
        <w:t>的通知》（鄂财农规发〔2020〕1号）</w:t>
      </w:r>
      <w:r>
        <w:rPr>
          <w:rFonts w:hint="eastAsia" w:ascii="仿宋_GB2312" w:hAnsi="仿宋" w:eastAsia="仿宋_GB2312"/>
          <w:snapToGrid w:val="0"/>
          <w:spacing w:val="6"/>
          <w:kern w:val="0"/>
          <w:sz w:val="32"/>
          <w:szCs w:val="32"/>
        </w:rPr>
        <w:t>废止。</w:t>
      </w:r>
    </w:p>
    <w:p>
      <w:pPr>
        <w:spacing w:line="530" w:lineRule="exact"/>
        <w:ind w:firstLine="664" w:firstLineChars="200"/>
        <w:rPr>
          <w:rFonts w:ascii="仿宋_GB2312" w:hAnsi="Calibri" w:eastAsia="仿宋_GB2312"/>
          <w:snapToGrid w:val="0"/>
          <w:spacing w:val="6"/>
          <w:kern w:val="0"/>
          <w:sz w:val="32"/>
          <w:szCs w:val="32"/>
        </w:rPr>
      </w:pPr>
      <w:r>
        <w:rPr>
          <w:rFonts w:hint="eastAsia" w:ascii="仿宋_GB2312" w:hAnsi="Calibri" w:eastAsia="仿宋_GB2312"/>
          <w:snapToGrid w:val="0"/>
          <w:spacing w:val="6"/>
          <w:kern w:val="0"/>
          <w:sz w:val="32"/>
          <w:szCs w:val="32"/>
        </w:rPr>
        <w:t>附件：4项任务具体测算指标</w:t>
      </w:r>
    </w:p>
    <w:p>
      <w:pPr>
        <w:spacing w:line="560" w:lineRule="exact"/>
        <w:rPr>
          <w:rFonts w:ascii="仿宋" w:hAnsi="仿宋" w:eastAsia="仿宋" w:cs="仿宋"/>
          <w:sz w:val="32"/>
          <w:szCs w:val="32"/>
        </w:rPr>
      </w:pPr>
    </w:p>
    <w:sectPr>
      <w:footerReference r:id="rId3" w:type="default"/>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Arial Rounded MT Bold">
    <w:panose1 w:val="020F070403050403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Ps5vjrgEAAEsD&#10;AAAOAAAAAAAAAAEAIAAAAB4BAABkcnMvZTJvRG9jLnhtbFBLBQYAAAAABgAGAFkBAAA+BQAAAAA=&#10;">
          <v:path/>
          <v:fill on="f" focussize="0,0"/>
          <v:stroke on="f" joinstyle="miter"/>
          <v:imagedata o:title=""/>
          <o:lock v:ext="edit"/>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NotDisplayPageBoundaries w:val="1"/>
  <w:documentProtection w:enforcement="0"/>
  <w:defaultTabStop w:val="420"/>
  <w:drawingGridVerticalSpacing w:val="156"/>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EyMzgwZjFkYjk5NGUxMTFmN2JiMGJmM2Y2YTQ3MWYifQ=="/>
  </w:docVars>
  <w:rsids>
    <w:rsidRoot w:val="00172A27"/>
    <w:rsid w:val="00051A91"/>
    <w:rsid w:val="000D7205"/>
    <w:rsid w:val="00172A27"/>
    <w:rsid w:val="001B5736"/>
    <w:rsid w:val="00225C9E"/>
    <w:rsid w:val="0025693D"/>
    <w:rsid w:val="002F56C1"/>
    <w:rsid w:val="00304C78"/>
    <w:rsid w:val="00343858"/>
    <w:rsid w:val="003C53BD"/>
    <w:rsid w:val="00464B19"/>
    <w:rsid w:val="0053383D"/>
    <w:rsid w:val="00547C1B"/>
    <w:rsid w:val="00563674"/>
    <w:rsid w:val="005A3347"/>
    <w:rsid w:val="005C59B0"/>
    <w:rsid w:val="00746DA3"/>
    <w:rsid w:val="00782BF1"/>
    <w:rsid w:val="00790FD8"/>
    <w:rsid w:val="00893A4F"/>
    <w:rsid w:val="008D6617"/>
    <w:rsid w:val="009028DE"/>
    <w:rsid w:val="009F4C66"/>
    <w:rsid w:val="00AD0506"/>
    <w:rsid w:val="00B07F80"/>
    <w:rsid w:val="00B16855"/>
    <w:rsid w:val="00B57993"/>
    <w:rsid w:val="00C31951"/>
    <w:rsid w:val="00CE36E1"/>
    <w:rsid w:val="00DA4586"/>
    <w:rsid w:val="00E14CE8"/>
    <w:rsid w:val="00F34FD9"/>
    <w:rsid w:val="00F81165"/>
    <w:rsid w:val="00F86D33"/>
    <w:rsid w:val="01270A62"/>
    <w:rsid w:val="017948DC"/>
    <w:rsid w:val="01E33453"/>
    <w:rsid w:val="01E6544A"/>
    <w:rsid w:val="02536C7E"/>
    <w:rsid w:val="025F33F1"/>
    <w:rsid w:val="02842FDD"/>
    <w:rsid w:val="02AA2F84"/>
    <w:rsid w:val="02B70E4B"/>
    <w:rsid w:val="02D53180"/>
    <w:rsid w:val="02D873F9"/>
    <w:rsid w:val="02F47F46"/>
    <w:rsid w:val="04070C4B"/>
    <w:rsid w:val="04C60AF4"/>
    <w:rsid w:val="055A2A5D"/>
    <w:rsid w:val="05BD057E"/>
    <w:rsid w:val="05FF6C59"/>
    <w:rsid w:val="06FC6491"/>
    <w:rsid w:val="0750203C"/>
    <w:rsid w:val="077F0C26"/>
    <w:rsid w:val="08110F57"/>
    <w:rsid w:val="0863313F"/>
    <w:rsid w:val="08B56830"/>
    <w:rsid w:val="08D44A5E"/>
    <w:rsid w:val="08E31EF9"/>
    <w:rsid w:val="08ED2CC0"/>
    <w:rsid w:val="09484529"/>
    <w:rsid w:val="095B5F42"/>
    <w:rsid w:val="09FB7947"/>
    <w:rsid w:val="0A0F2919"/>
    <w:rsid w:val="0A461282"/>
    <w:rsid w:val="0A5C2C71"/>
    <w:rsid w:val="0B2A58DE"/>
    <w:rsid w:val="0B3468BB"/>
    <w:rsid w:val="0BE942C5"/>
    <w:rsid w:val="0C397B8C"/>
    <w:rsid w:val="0C783231"/>
    <w:rsid w:val="0CC5755D"/>
    <w:rsid w:val="0D873197"/>
    <w:rsid w:val="0E4136EE"/>
    <w:rsid w:val="0EDD63CE"/>
    <w:rsid w:val="0F4207BC"/>
    <w:rsid w:val="0F4A70E1"/>
    <w:rsid w:val="0F4B0032"/>
    <w:rsid w:val="0FAB14B6"/>
    <w:rsid w:val="0FE00016"/>
    <w:rsid w:val="0FF40A09"/>
    <w:rsid w:val="10032B1E"/>
    <w:rsid w:val="1012429B"/>
    <w:rsid w:val="10587BF1"/>
    <w:rsid w:val="105E5F2C"/>
    <w:rsid w:val="109541D0"/>
    <w:rsid w:val="10E6169E"/>
    <w:rsid w:val="10E70DEC"/>
    <w:rsid w:val="116F409D"/>
    <w:rsid w:val="118F0D52"/>
    <w:rsid w:val="11B25E71"/>
    <w:rsid w:val="122D708D"/>
    <w:rsid w:val="124901CB"/>
    <w:rsid w:val="131A7191"/>
    <w:rsid w:val="13244A2E"/>
    <w:rsid w:val="139B2741"/>
    <w:rsid w:val="14133F9A"/>
    <w:rsid w:val="148677E7"/>
    <w:rsid w:val="148F1857"/>
    <w:rsid w:val="14E53EF9"/>
    <w:rsid w:val="14F53938"/>
    <w:rsid w:val="15B26E94"/>
    <w:rsid w:val="15C00E68"/>
    <w:rsid w:val="15DC1DAA"/>
    <w:rsid w:val="15FD763C"/>
    <w:rsid w:val="16001FB1"/>
    <w:rsid w:val="160E3FF2"/>
    <w:rsid w:val="166323DF"/>
    <w:rsid w:val="169C4747"/>
    <w:rsid w:val="16F64BCC"/>
    <w:rsid w:val="16FC651D"/>
    <w:rsid w:val="17562C98"/>
    <w:rsid w:val="175C116C"/>
    <w:rsid w:val="17815C37"/>
    <w:rsid w:val="17A03A37"/>
    <w:rsid w:val="17C64ECF"/>
    <w:rsid w:val="18273614"/>
    <w:rsid w:val="18A23E73"/>
    <w:rsid w:val="18B0217A"/>
    <w:rsid w:val="19512BB8"/>
    <w:rsid w:val="195669CF"/>
    <w:rsid w:val="19685496"/>
    <w:rsid w:val="1A5B0941"/>
    <w:rsid w:val="1A6A591E"/>
    <w:rsid w:val="1A9525BD"/>
    <w:rsid w:val="1B155293"/>
    <w:rsid w:val="1B4E5EA5"/>
    <w:rsid w:val="1B951090"/>
    <w:rsid w:val="1BA11487"/>
    <w:rsid w:val="1BDA3898"/>
    <w:rsid w:val="1C1161FE"/>
    <w:rsid w:val="1C2A3A48"/>
    <w:rsid w:val="1C86022D"/>
    <w:rsid w:val="1CAA3910"/>
    <w:rsid w:val="1D140049"/>
    <w:rsid w:val="1D473383"/>
    <w:rsid w:val="1D675300"/>
    <w:rsid w:val="1D9E4A5F"/>
    <w:rsid w:val="1E4E7537"/>
    <w:rsid w:val="1EA5548A"/>
    <w:rsid w:val="1EBE522E"/>
    <w:rsid w:val="1EC52112"/>
    <w:rsid w:val="1F4801AD"/>
    <w:rsid w:val="1FB92C07"/>
    <w:rsid w:val="1FF7155F"/>
    <w:rsid w:val="200220E2"/>
    <w:rsid w:val="20751E76"/>
    <w:rsid w:val="215B39D5"/>
    <w:rsid w:val="21C36A4D"/>
    <w:rsid w:val="22196CF5"/>
    <w:rsid w:val="22347818"/>
    <w:rsid w:val="22770B15"/>
    <w:rsid w:val="22B37E91"/>
    <w:rsid w:val="2305188A"/>
    <w:rsid w:val="232D2A60"/>
    <w:rsid w:val="233859F8"/>
    <w:rsid w:val="23A33681"/>
    <w:rsid w:val="23CF7F5F"/>
    <w:rsid w:val="25127324"/>
    <w:rsid w:val="2593378A"/>
    <w:rsid w:val="25FA5E96"/>
    <w:rsid w:val="26243A9B"/>
    <w:rsid w:val="267A2379"/>
    <w:rsid w:val="26BD4FC0"/>
    <w:rsid w:val="27111295"/>
    <w:rsid w:val="276A7505"/>
    <w:rsid w:val="27911CDC"/>
    <w:rsid w:val="27BD4736"/>
    <w:rsid w:val="285F1956"/>
    <w:rsid w:val="291426D2"/>
    <w:rsid w:val="29786D7F"/>
    <w:rsid w:val="29932B55"/>
    <w:rsid w:val="299374F1"/>
    <w:rsid w:val="29F03362"/>
    <w:rsid w:val="2A6F2EE5"/>
    <w:rsid w:val="2ABB7E2B"/>
    <w:rsid w:val="2ACB3D5B"/>
    <w:rsid w:val="2ADC1B96"/>
    <w:rsid w:val="2AF50F8A"/>
    <w:rsid w:val="2B0D531D"/>
    <w:rsid w:val="2B6231EB"/>
    <w:rsid w:val="2BB84599"/>
    <w:rsid w:val="2BC91E18"/>
    <w:rsid w:val="2BD63B26"/>
    <w:rsid w:val="2C432549"/>
    <w:rsid w:val="2CEC411E"/>
    <w:rsid w:val="2CF858BE"/>
    <w:rsid w:val="2D0C206B"/>
    <w:rsid w:val="2D6C3FC9"/>
    <w:rsid w:val="2DD00ECC"/>
    <w:rsid w:val="2DF66397"/>
    <w:rsid w:val="2E803771"/>
    <w:rsid w:val="2ECB7205"/>
    <w:rsid w:val="2EE91EBC"/>
    <w:rsid w:val="2EFB0366"/>
    <w:rsid w:val="2F5439A3"/>
    <w:rsid w:val="2F5B58B4"/>
    <w:rsid w:val="2FCC5819"/>
    <w:rsid w:val="2FF4200A"/>
    <w:rsid w:val="300B7699"/>
    <w:rsid w:val="307044AE"/>
    <w:rsid w:val="30916194"/>
    <w:rsid w:val="30D863BE"/>
    <w:rsid w:val="31332B67"/>
    <w:rsid w:val="314B709E"/>
    <w:rsid w:val="315948DF"/>
    <w:rsid w:val="315F5C31"/>
    <w:rsid w:val="317C6AF8"/>
    <w:rsid w:val="31C33BFE"/>
    <w:rsid w:val="321E4054"/>
    <w:rsid w:val="327345A4"/>
    <w:rsid w:val="32BB0535"/>
    <w:rsid w:val="33107147"/>
    <w:rsid w:val="338A13E5"/>
    <w:rsid w:val="339113FC"/>
    <w:rsid w:val="34481400"/>
    <w:rsid w:val="347C2E44"/>
    <w:rsid w:val="34A634C1"/>
    <w:rsid w:val="34E204D2"/>
    <w:rsid w:val="34F25BC7"/>
    <w:rsid w:val="350322B7"/>
    <w:rsid w:val="3525563E"/>
    <w:rsid w:val="35AE61C1"/>
    <w:rsid w:val="35D01D04"/>
    <w:rsid w:val="35E83370"/>
    <w:rsid w:val="364D5DB3"/>
    <w:rsid w:val="36A37739"/>
    <w:rsid w:val="37616A19"/>
    <w:rsid w:val="376B0AD2"/>
    <w:rsid w:val="37A07EED"/>
    <w:rsid w:val="38A95FA3"/>
    <w:rsid w:val="39730066"/>
    <w:rsid w:val="39971677"/>
    <w:rsid w:val="3A106E8D"/>
    <w:rsid w:val="3A737093"/>
    <w:rsid w:val="3A7E270A"/>
    <w:rsid w:val="3AD41DF0"/>
    <w:rsid w:val="3B26581C"/>
    <w:rsid w:val="3B373A6B"/>
    <w:rsid w:val="3BA31BCB"/>
    <w:rsid w:val="3BAA45E3"/>
    <w:rsid w:val="3C5A28B7"/>
    <w:rsid w:val="3C67377C"/>
    <w:rsid w:val="3C6F2F9D"/>
    <w:rsid w:val="3CBD0988"/>
    <w:rsid w:val="3CBD2021"/>
    <w:rsid w:val="3CD85BA5"/>
    <w:rsid w:val="3D187B17"/>
    <w:rsid w:val="3D5143C0"/>
    <w:rsid w:val="3DFA4A48"/>
    <w:rsid w:val="3E4F65EF"/>
    <w:rsid w:val="3E6411A2"/>
    <w:rsid w:val="3F246ED2"/>
    <w:rsid w:val="3F58078C"/>
    <w:rsid w:val="3F5F0F82"/>
    <w:rsid w:val="3F6760FD"/>
    <w:rsid w:val="3F86080F"/>
    <w:rsid w:val="4079275C"/>
    <w:rsid w:val="40F56DD6"/>
    <w:rsid w:val="4124020B"/>
    <w:rsid w:val="41875A01"/>
    <w:rsid w:val="41E10294"/>
    <w:rsid w:val="41FF480D"/>
    <w:rsid w:val="42001048"/>
    <w:rsid w:val="424715B2"/>
    <w:rsid w:val="42E86FE0"/>
    <w:rsid w:val="43FF45AE"/>
    <w:rsid w:val="44790940"/>
    <w:rsid w:val="44917C5E"/>
    <w:rsid w:val="44C52F95"/>
    <w:rsid w:val="452037F0"/>
    <w:rsid w:val="45812C8B"/>
    <w:rsid w:val="45C81459"/>
    <w:rsid w:val="46BE2E7F"/>
    <w:rsid w:val="46D47235"/>
    <w:rsid w:val="46EB7C89"/>
    <w:rsid w:val="46F2639D"/>
    <w:rsid w:val="47373008"/>
    <w:rsid w:val="47557582"/>
    <w:rsid w:val="47C257C5"/>
    <w:rsid w:val="47CF5AD8"/>
    <w:rsid w:val="48853C64"/>
    <w:rsid w:val="48942E87"/>
    <w:rsid w:val="49665E94"/>
    <w:rsid w:val="49AB66C4"/>
    <w:rsid w:val="4A422223"/>
    <w:rsid w:val="4B525AC9"/>
    <w:rsid w:val="4B6C4033"/>
    <w:rsid w:val="4B727294"/>
    <w:rsid w:val="4C251F0C"/>
    <w:rsid w:val="4C677E05"/>
    <w:rsid w:val="4C877DDE"/>
    <w:rsid w:val="4CFB00A4"/>
    <w:rsid w:val="4D2120DC"/>
    <w:rsid w:val="4D3232BD"/>
    <w:rsid w:val="4E891758"/>
    <w:rsid w:val="4F3C6204"/>
    <w:rsid w:val="4F8015C7"/>
    <w:rsid w:val="4FCA37BE"/>
    <w:rsid w:val="4FDD25A9"/>
    <w:rsid w:val="4FF45A64"/>
    <w:rsid w:val="4FF625AC"/>
    <w:rsid w:val="50125C6F"/>
    <w:rsid w:val="503D0BCA"/>
    <w:rsid w:val="504208B4"/>
    <w:rsid w:val="50745D9F"/>
    <w:rsid w:val="507812B5"/>
    <w:rsid w:val="50905DC5"/>
    <w:rsid w:val="50957FC2"/>
    <w:rsid w:val="50BE10EE"/>
    <w:rsid w:val="50D91F78"/>
    <w:rsid w:val="50DA57D9"/>
    <w:rsid w:val="51267B3F"/>
    <w:rsid w:val="514B555B"/>
    <w:rsid w:val="51BF1A27"/>
    <w:rsid w:val="521D3228"/>
    <w:rsid w:val="522A5DCC"/>
    <w:rsid w:val="531E1FFC"/>
    <w:rsid w:val="533F2D87"/>
    <w:rsid w:val="54524E54"/>
    <w:rsid w:val="548A2E80"/>
    <w:rsid w:val="549120D5"/>
    <w:rsid w:val="54A13095"/>
    <w:rsid w:val="5501218F"/>
    <w:rsid w:val="55221C8C"/>
    <w:rsid w:val="555F7A1E"/>
    <w:rsid w:val="559139C9"/>
    <w:rsid w:val="55F30EA7"/>
    <w:rsid w:val="560E01B1"/>
    <w:rsid w:val="564E6624"/>
    <w:rsid w:val="566E04F4"/>
    <w:rsid w:val="56B47544"/>
    <w:rsid w:val="56EE07BD"/>
    <w:rsid w:val="5701608E"/>
    <w:rsid w:val="57571848"/>
    <w:rsid w:val="57F57611"/>
    <w:rsid w:val="58F314A0"/>
    <w:rsid w:val="591031CE"/>
    <w:rsid w:val="591F7961"/>
    <w:rsid w:val="596352DC"/>
    <w:rsid w:val="59B46A0B"/>
    <w:rsid w:val="59C54BD7"/>
    <w:rsid w:val="5A064756"/>
    <w:rsid w:val="5A113244"/>
    <w:rsid w:val="5A2B3980"/>
    <w:rsid w:val="5B180AE0"/>
    <w:rsid w:val="5B667313"/>
    <w:rsid w:val="5B6C7127"/>
    <w:rsid w:val="5BAE7CB3"/>
    <w:rsid w:val="5C1A6D44"/>
    <w:rsid w:val="5C5A0F14"/>
    <w:rsid w:val="5D0152E1"/>
    <w:rsid w:val="5D5E1978"/>
    <w:rsid w:val="5D7016DE"/>
    <w:rsid w:val="5DE61CFF"/>
    <w:rsid w:val="5E8B6A47"/>
    <w:rsid w:val="5ED92132"/>
    <w:rsid w:val="5EE76FE4"/>
    <w:rsid w:val="5F0B78C5"/>
    <w:rsid w:val="5F5A3E88"/>
    <w:rsid w:val="60556974"/>
    <w:rsid w:val="60814E97"/>
    <w:rsid w:val="60830BCD"/>
    <w:rsid w:val="61325F8B"/>
    <w:rsid w:val="61456E63"/>
    <w:rsid w:val="628543AC"/>
    <w:rsid w:val="62A238B5"/>
    <w:rsid w:val="633F7595"/>
    <w:rsid w:val="639C15C6"/>
    <w:rsid w:val="63DF3530"/>
    <w:rsid w:val="640C0CFE"/>
    <w:rsid w:val="64342500"/>
    <w:rsid w:val="646D2BF8"/>
    <w:rsid w:val="64E817CF"/>
    <w:rsid w:val="652A3280"/>
    <w:rsid w:val="65345149"/>
    <w:rsid w:val="65684C47"/>
    <w:rsid w:val="65880F62"/>
    <w:rsid w:val="65BE5438"/>
    <w:rsid w:val="65F15EAE"/>
    <w:rsid w:val="6606144B"/>
    <w:rsid w:val="6616214B"/>
    <w:rsid w:val="667006A7"/>
    <w:rsid w:val="66E00AC8"/>
    <w:rsid w:val="680E7F65"/>
    <w:rsid w:val="682F79C8"/>
    <w:rsid w:val="68344AA4"/>
    <w:rsid w:val="683779F1"/>
    <w:rsid w:val="68C006D4"/>
    <w:rsid w:val="693421B3"/>
    <w:rsid w:val="69471A37"/>
    <w:rsid w:val="69557634"/>
    <w:rsid w:val="69AE3D64"/>
    <w:rsid w:val="69D01814"/>
    <w:rsid w:val="6A4E4CFD"/>
    <w:rsid w:val="6A83383A"/>
    <w:rsid w:val="6A9846F9"/>
    <w:rsid w:val="6AF1228A"/>
    <w:rsid w:val="6B405BD5"/>
    <w:rsid w:val="6C12315A"/>
    <w:rsid w:val="6C145BEF"/>
    <w:rsid w:val="6C704205"/>
    <w:rsid w:val="6CAF0AA2"/>
    <w:rsid w:val="6CDC4A37"/>
    <w:rsid w:val="6D26478D"/>
    <w:rsid w:val="6D9D466E"/>
    <w:rsid w:val="6DE9097F"/>
    <w:rsid w:val="6E1206A1"/>
    <w:rsid w:val="6E635FDD"/>
    <w:rsid w:val="6EF96539"/>
    <w:rsid w:val="6F856961"/>
    <w:rsid w:val="6FC42237"/>
    <w:rsid w:val="6FCE48E6"/>
    <w:rsid w:val="7050060B"/>
    <w:rsid w:val="706E726A"/>
    <w:rsid w:val="709F118C"/>
    <w:rsid w:val="70A71817"/>
    <w:rsid w:val="713129C2"/>
    <w:rsid w:val="71355124"/>
    <w:rsid w:val="71CD25DE"/>
    <w:rsid w:val="72114E96"/>
    <w:rsid w:val="72142D0A"/>
    <w:rsid w:val="72196366"/>
    <w:rsid w:val="721E460D"/>
    <w:rsid w:val="73AF57F7"/>
    <w:rsid w:val="742362EE"/>
    <w:rsid w:val="751867FE"/>
    <w:rsid w:val="75F759F5"/>
    <w:rsid w:val="76A122D4"/>
    <w:rsid w:val="772A072B"/>
    <w:rsid w:val="7780116A"/>
    <w:rsid w:val="784B7C92"/>
    <w:rsid w:val="785A71B4"/>
    <w:rsid w:val="787A0753"/>
    <w:rsid w:val="790D6ACA"/>
    <w:rsid w:val="795671F2"/>
    <w:rsid w:val="796733EB"/>
    <w:rsid w:val="79DE6377"/>
    <w:rsid w:val="79FB3153"/>
    <w:rsid w:val="7B3F757D"/>
    <w:rsid w:val="7BBD07D9"/>
    <w:rsid w:val="7BBF05CC"/>
    <w:rsid w:val="7C2950BD"/>
    <w:rsid w:val="7C316083"/>
    <w:rsid w:val="7C9F0E62"/>
    <w:rsid w:val="7CBA57C8"/>
    <w:rsid w:val="7D1B3591"/>
    <w:rsid w:val="7D244050"/>
    <w:rsid w:val="7D332C72"/>
    <w:rsid w:val="7D3D5ED1"/>
    <w:rsid w:val="7D4E63E7"/>
    <w:rsid w:val="7E0C3329"/>
    <w:rsid w:val="7E150A8A"/>
    <w:rsid w:val="7E5E429E"/>
    <w:rsid w:val="7E831DE6"/>
    <w:rsid w:val="7E892D83"/>
    <w:rsid w:val="7EFF7D7B"/>
    <w:rsid w:val="7F1925C4"/>
    <w:rsid w:val="7F98640D"/>
    <w:rsid w:val="7FF80C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100" w:beforeAutospacing="1" w:after="100" w:afterAutospacing="1"/>
      <w:jc w:val="left"/>
    </w:pPr>
    <w:rPr>
      <w:kern w:val="0"/>
      <w:sz w:val="24"/>
    </w:rPr>
  </w:style>
  <w:style w:type="character" w:customStyle="1" w:styleId="8">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3078"/>
    <customShpInfo spid="_x0000_s307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3557</Words>
  <Characters>195</Characters>
  <Lines>1</Lines>
  <Paragraphs>7</Paragraphs>
  <TotalTime>51</TotalTime>
  <ScaleCrop>false</ScaleCrop>
  <LinksUpToDate>false</LinksUpToDate>
  <CharactersWithSpaces>3745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2020-07-03T02:42:00Z</dcterms:created>
  <dc:creator>Administrator</dc:creator>
  <cp:lastModifiedBy>Administrator</cp:lastModifiedBy>
  <cp:lastPrinted>2021-10-29T08:52:00Z</cp:lastPrinted>
  <dcterms:modified xsi:type="dcterms:W3CDTF">2023-12-23T03:02:09Z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926105E8B76B4CB08E0C9641CCACE076</vt:lpwstr>
  </property>
</Properties>
</file>