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rPr>
          <w:rFonts w:hint="eastAsia" w:ascii="方正小标宋简体" w:hAnsi="Times New Roman" w:eastAsia="方正小标宋简体"/>
          <w:sz w:val="52"/>
          <w:szCs w:val="52"/>
        </w:rPr>
      </w:pPr>
      <mc:AlternateContent>
        <mc:Choice Requires="wpsCustomData">
          <wpsCustomData:docfieldStart id="0" docfieldname="_GoBack" hidden="0" print="1" readonly="0" index="1"/>
        </mc:Choice>
      </mc:AlternateContent>
      <mc:AlternateContent>
        <mc:Choice Requires="wpsCustomData">
          <wpsCustomData:docfieldEnd id="0"/>
        </mc:Choice>
      </mc:AlternateContent>
    </w:p>
    <w:p>
      <w:pPr>
        <w:spacing w:line="800" w:lineRule="exact"/>
        <w:rPr>
          <w:rFonts w:hint="eastAsia" w:ascii="方正小标宋简体" w:hAnsi="Times New Roman" w:eastAsia="方正小标宋简体"/>
          <w:sz w:val="48"/>
          <w:szCs w:val="48"/>
        </w:rPr>
      </w:pPr>
    </w:p>
    <w:p>
      <w:pPr>
        <w:jc w:val="center"/>
        <w:rPr>
          <w:rFonts w:ascii="Times New Roman" w:hAnsi="Times New Roman"/>
          <w:szCs w:val="24"/>
        </w:rPr>
      </w:pPr>
    </w:p>
    <w:p>
      <w:pPr>
        <w:spacing w:line="540" w:lineRule="exact"/>
        <w:jc w:val="center"/>
        <w:rPr>
          <w:rFonts w:hint="eastAsia" w:eastAsia="华文中宋"/>
          <w:bCs/>
          <w:color w:val="FF0000"/>
          <w:sz w:val="32"/>
          <w:szCs w:val="32"/>
        </w:rPr>
      </w:pPr>
    </w:p>
    <w:p>
      <w:pPr>
        <w:spacing w:line="540" w:lineRule="exact"/>
        <w:jc w:val="center"/>
        <w:rPr>
          <w:rFonts w:hint="eastAsia" w:eastAsia="华文中宋"/>
          <w:b/>
          <w:bCs/>
          <w:color w:val="FF0000"/>
          <w:sz w:val="32"/>
          <w:szCs w:val="32"/>
        </w:rPr>
      </w:pPr>
    </w:p>
    <w:p>
      <w:pPr>
        <w:jc w:val="center"/>
        <w:rPr>
          <w:rFonts w:ascii="仿宋_GB2312" w:eastAsia="仿宋_GB2312"/>
          <w:sz w:val="32"/>
          <w:szCs w:val="32"/>
        </w:rPr>
      </w:pPr>
      <w:bookmarkStart w:id="0" w:name="B0003"/>
      <mc:AlternateContent>
        <mc:Choice Requires="wpsCustomData">
          <wpsCustomData:docfieldStart id="1" docfieldname="B0003" hidden="0" print="1" readonly="0" index="2"/>
        </mc:Choice>
      </mc:AlternateContent>
      <w:r>
        <w:rPr>
          <w:rFonts w:hint="eastAsia" w:ascii="仿宋_GB2312" w:eastAsia="仿宋_GB2312"/>
          <w:sz w:val="32"/>
          <w:szCs w:val="32"/>
        </w:rPr>
        <w:t xml:space="preserve"> </w:t>
      </w:r>
      <w:bookmarkEnd w:id="0"/>
      <w:r>
        <w:rPr>
          <w:rFonts w:hint="eastAsia" w:ascii="仿宋_GB2312" w:eastAsia="仿宋_GB2312"/>
          <w:sz w:val="32"/>
          <w:szCs w:val="32"/>
          <w:lang w:eastAsia="zh-CN"/>
        </w:rPr>
        <w:t>鄂府办发〔2026〕8号</w:t>
      </w:r>
      <mc:AlternateContent>
        <mc:Choice Requires="wpsCustomData">
          <wpsCustomData:docfieldEnd id="1"/>
        </mc:Choice>
      </mc:AlternateContent>
      <w:r>
        <w:rPr>
          <w:rFonts w:hint="eastAsia" w:ascii="仿宋_GB2312" w:eastAsia="仿宋_GB2312"/>
          <w:sz w:val="32"/>
          <w:szCs w:val="32"/>
        </w:rPr>
        <w:t xml:space="preserve">   </w:t>
      </w:r>
    </w:p>
    <w:p>
      <w:pPr>
        <w:jc w:val="center"/>
        <w:rPr>
          <w:rFonts w:hint="eastAsia" w:ascii="华文中宋" w:eastAsia="华文中宋"/>
          <w:sz w:val="36"/>
          <w:szCs w:val="36"/>
          <w:highlight w:val="lightGray"/>
        </w:rPr>
      </w:pPr>
      <w:bookmarkStart w:id="7" w:name="_GoBack"/>
      <w:bookmarkEnd w:id="7"/>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Times New Roman"/>
          <w:b w:val="0"/>
          <w:bCs/>
          <w:color w:val="auto"/>
          <w:sz w:val="32"/>
          <w:szCs w:val="24"/>
        </w:rPr>
      </w:pPr>
      <w:bookmarkStart w:id="1" w:name="正文开始"/>
      <w:bookmarkEnd w:id="1"/>
      <w:bookmarkStart w:id="2" w:name="正文文件"/>
      <w:bookmarkEnd w:id="2"/>
      <mc:AlternateContent>
        <mc:Choice Requires="wpsCustomData">
          <wpsCustomData:docfieldStart id="2" docfieldname="正文文件" hidden="0" print="1" readonly="0" index="4"/>
        </mc:Choice>
      </mc:AlternateContent>
      <mc:AlternateContent>
        <mc:Choice Requires="wpsCustomData">
          <wpsCustomData:docfieldStart id="3" docfieldname="正文开始" hidden="0" print="1" readonly="0" index="3"/>
        </mc:Choice>
      </mc:AlternateContent>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鄂尔多斯市人民政府办公室关于印发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鄂尔多斯市持续打造一流营商环境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行动方案（2026年）的通知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Times New Roman"/>
          <w:b w:val="0"/>
          <w:bCs/>
          <w:color w:val="auto"/>
          <w:sz w:val="32"/>
          <w:szCs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Times New Roman"/>
          <w:b w:val="0"/>
          <w:bCs/>
          <w:color w:val="auto"/>
          <w:sz w:val="32"/>
          <w:szCs w:val="24"/>
        </w:rPr>
      </w:pPr>
      <w:r>
        <w:rPr>
          <w:rFonts w:hint="eastAsia" w:ascii="仿宋_GB2312" w:hAnsi="仿宋" w:eastAsia="仿宋_GB2312" w:cs="Times New Roman"/>
          <w:b w:val="0"/>
          <w:bCs/>
          <w:color w:val="auto"/>
          <w:sz w:val="32"/>
          <w:szCs w:val="24"/>
        </w:rPr>
        <w:t>各旗区人民政府，市人民政府各部门，各直属单位，各大企事业单位：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 w:val="0"/>
          <w:bCs/>
          <w:color w:val="auto"/>
          <w:sz w:val="32"/>
          <w:szCs w:val="24"/>
        </w:rPr>
      </w:pPr>
      <w:r>
        <w:rPr>
          <w:rFonts w:hint="eastAsia" w:ascii="仿宋_GB2312" w:hAnsi="仿宋" w:eastAsia="仿宋_GB2312" w:cs="Times New Roman"/>
          <w:b w:val="0"/>
          <w:bCs/>
          <w:color w:val="auto"/>
          <w:sz w:val="32"/>
          <w:szCs w:val="24"/>
        </w:rPr>
        <w:t>《鄂尔多斯市持续打造一流营商环境行动方案（2026年）》已经市人民政府202</w:t>
      </w:r>
      <w:r>
        <w:rPr>
          <w:rFonts w:hint="eastAsia" w:ascii="仿宋_GB2312" w:hAnsi="仿宋" w:eastAsia="仿宋_GB2312" w:cs="Times New Roman"/>
          <w:b w:val="0"/>
          <w:bCs/>
          <w:color w:val="auto"/>
          <w:sz w:val="32"/>
          <w:szCs w:val="24"/>
          <w:lang w:val="en-US" w:eastAsia="zh-CN"/>
        </w:rPr>
        <w:t>6</w:t>
      </w:r>
      <w:r>
        <w:rPr>
          <w:rFonts w:hint="eastAsia" w:ascii="仿宋_GB2312" w:hAnsi="仿宋" w:eastAsia="仿宋_GB2312" w:cs="Times New Roman"/>
          <w:b w:val="0"/>
          <w:bCs/>
          <w:color w:val="auto"/>
          <w:sz w:val="32"/>
          <w:szCs w:val="24"/>
        </w:rPr>
        <w:t>年第</w:t>
      </w:r>
      <w:r>
        <w:rPr>
          <w:rFonts w:hint="eastAsia" w:ascii="仿宋_GB2312" w:hAnsi="仿宋" w:eastAsia="仿宋_GB2312" w:cs="Times New Roman"/>
          <w:b w:val="0"/>
          <w:bCs/>
          <w:color w:val="auto"/>
          <w:sz w:val="32"/>
          <w:szCs w:val="24"/>
          <w:lang w:val="en-US" w:eastAsia="zh-CN"/>
        </w:rPr>
        <w:t>5</w:t>
      </w:r>
      <w:r>
        <w:rPr>
          <w:rFonts w:hint="eastAsia" w:ascii="仿宋_GB2312" w:hAnsi="仿宋" w:eastAsia="仿宋_GB2312" w:cs="Times New Roman"/>
          <w:b w:val="0"/>
          <w:bCs/>
          <w:color w:val="auto"/>
          <w:sz w:val="32"/>
          <w:szCs w:val="24"/>
        </w:rPr>
        <w:t>次常务会议审议通过，现印发给你们，请认真组织实施。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Times New Roman"/>
          <w:b w:val="0"/>
          <w:bCs/>
          <w:color w:val="auto"/>
          <w:sz w:val="32"/>
          <w:szCs w:val="24"/>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 w:eastAsia="仿宋_GB2312" w:cs="Times New Roman"/>
          <w:b w:val="0"/>
          <w:bCs/>
          <w:color w:val="auto"/>
          <w:sz w:val="32"/>
          <w:szCs w:val="24"/>
        </w:rPr>
      </w:pPr>
      <w:r>
        <w:rPr>
          <w:rFonts w:hint="eastAsia" w:ascii="仿宋_GB2312" w:hAnsi="仿宋" w:eastAsia="仿宋_GB2312" w:cs="Times New Roman"/>
          <w:b w:val="0"/>
          <w:bCs/>
          <w:color w:val="auto"/>
          <w:sz w:val="32"/>
          <w:szCs w:val="24"/>
        </w:rPr>
        <w:t xml:space="preserve">鄂尔多斯市人民政府办公室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Times New Roman"/>
          <w:b w:val="0"/>
          <w:bCs/>
          <w:color w:val="auto"/>
          <w:sz w:val="32"/>
          <w:szCs w:val="24"/>
        </w:rPr>
      </w:pPr>
      <w:r>
        <w:rPr>
          <w:rFonts w:hint="eastAsia" w:ascii="仿宋_GB2312" w:hAnsi="仿宋" w:eastAsia="仿宋_GB2312" w:cs="Times New Roman"/>
          <w:b w:val="0"/>
          <w:bCs/>
          <w:color w:val="auto"/>
          <w:sz w:val="32"/>
          <w:szCs w:val="24"/>
        </w:rPr>
        <w:t xml:space="preserve">                            202</w:t>
      </w:r>
      <w:r>
        <w:rPr>
          <w:rFonts w:hint="eastAsia" w:ascii="仿宋_GB2312" w:hAnsi="仿宋" w:eastAsia="仿宋_GB2312" w:cs="Times New Roman"/>
          <w:b w:val="0"/>
          <w:bCs/>
          <w:color w:val="auto"/>
          <w:sz w:val="32"/>
          <w:szCs w:val="24"/>
          <w:lang w:val="en-US" w:eastAsia="zh-CN"/>
        </w:rPr>
        <w:t>6</w:t>
      </w:r>
      <w:r>
        <w:rPr>
          <w:rFonts w:hint="eastAsia" w:ascii="仿宋_GB2312" w:hAnsi="仿宋" w:eastAsia="仿宋_GB2312" w:cs="Times New Roman"/>
          <w:b w:val="0"/>
          <w:bCs/>
          <w:color w:val="auto"/>
          <w:sz w:val="32"/>
          <w:szCs w:val="24"/>
        </w:rPr>
        <w:t>年</w:t>
      </w:r>
      <w:r>
        <w:rPr>
          <w:rFonts w:hint="eastAsia" w:ascii="仿宋_GB2312" w:hAnsi="仿宋" w:eastAsia="仿宋_GB2312" w:cs="Times New Roman"/>
          <w:b w:val="0"/>
          <w:bCs/>
          <w:color w:val="auto"/>
          <w:sz w:val="32"/>
          <w:szCs w:val="24"/>
          <w:lang w:val="en-US" w:eastAsia="zh-CN"/>
        </w:rPr>
        <w:t>2</w:t>
      </w:r>
      <w:r>
        <w:rPr>
          <w:rFonts w:hint="eastAsia" w:ascii="仿宋_GB2312" w:hAnsi="仿宋" w:eastAsia="仿宋_GB2312" w:cs="Times New Roman"/>
          <w:b w:val="0"/>
          <w:bCs/>
          <w:color w:val="auto"/>
          <w:sz w:val="32"/>
          <w:szCs w:val="24"/>
        </w:rPr>
        <w:t>月2</w:t>
      </w:r>
      <w:r>
        <w:rPr>
          <w:rFonts w:hint="eastAsia" w:ascii="仿宋_GB2312" w:hAnsi="仿宋" w:eastAsia="仿宋_GB2312" w:cs="Times New Roman"/>
          <w:b w:val="0"/>
          <w:bCs/>
          <w:color w:val="auto"/>
          <w:sz w:val="32"/>
          <w:szCs w:val="24"/>
          <w:lang w:val="en-US" w:eastAsia="zh-CN"/>
        </w:rPr>
        <w:t>6</w:t>
      </w:r>
      <w:r>
        <w:rPr>
          <w:rFonts w:hint="eastAsia" w:ascii="仿宋_GB2312" w:hAnsi="仿宋" w:eastAsia="仿宋_GB2312" w:cs="Times New Roman"/>
          <w:b w:val="0"/>
          <w:bCs/>
          <w:color w:val="auto"/>
          <w:sz w:val="32"/>
          <w:szCs w:val="24"/>
        </w:rPr>
        <w:t xml:space="preserve">日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lang w:val="en-US" w:eastAsia="zh-CN"/>
        </w:rPr>
        <w:t>鄂尔多斯市持续</w:t>
      </w:r>
      <w:r>
        <w:rPr>
          <w:rFonts w:hint="eastAsia" w:ascii="方正小标宋简体" w:hAnsi="方正小标宋简体" w:eastAsia="方正小标宋简体" w:cs="方正小标宋简体"/>
          <w:b w:val="0"/>
          <w:bCs/>
          <w:color w:val="auto"/>
          <w:sz w:val="44"/>
          <w:szCs w:val="44"/>
          <w:highlight w:val="none"/>
        </w:rPr>
        <w:t>打造一流营商环境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行动方案（2026年）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为全面贯彻党的二十大和二十届历次全会精神，深入贯彻习近平总书记关于优化营商环境重要论述，全面落实党中央、国务院决策部署和自治区党委、</w:t>
      </w:r>
      <w:r>
        <w:rPr>
          <w:rFonts w:hint="eastAsia" w:ascii="Times New Roman" w:hAnsi="Times New Roman" w:eastAsia="仿宋_GB2312" w:cs="Times New Roman"/>
          <w:b w:val="0"/>
          <w:bCs/>
          <w:color w:val="auto"/>
          <w:sz w:val="32"/>
          <w:szCs w:val="32"/>
          <w:highlight w:val="none"/>
          <w:lang w:val="en-US" w:eastAsia="zh-CN"/>
        </w:rPr>
        <w:t>自治区人民</w:t>
      </w:r>
      <w:r>
        <w:rPr>
          <w:rFonts w:hint="default" w:ascii="Times New Roman" w:hAnsi="Times New Roman" w:eastAsia="仿宋_GB2312" w:cs="Times New Roman"/>
          <w:b w:val="0"/>
          <w:bCs/>
          <w:color w:val="auto"/>
          <w:sz w:val="32"/>
          <w:szCs w:val="32"/>
          <w:highlight w:val="none"/>
          <w:lang w:val="en-US" w:eastAsia="zh-CN"/>
        </w:rPr>
        <w:t>政府关于优化营商环境工作要求，紧扣铸牢中华民族共同体意识</w:t>
      </w:r>
      <w:r>
        <w:rPr>
          <w:rFonts w:hint="eastAsia" w:ascii="Times New Roman" w:hAnsi="Times New Roman" w:eastAsia="仿宋_GB2312" w:cs="Times New Roman"/>
          <w:b w:val="0"/>
          <w:bCs/>
          <w:color w:val="auto"/>
          <w:sz w:val="32"/>
          <w:szCs w:val="32"/>
          <w:highlight w:val="none"/>
          <w:lang w:val="en-US" w:eastAsia="zh-CN"/>
        </w:rPr>
        <w:t>工作</w:t>
      </w:r>
      <w:r>
        <w:rPr>
          <w:rFonts w:hint="default" w:ascii="Times New Roman" w:hAnsi="Times New Roman" w:eastAsia="仿宋_GB2312" w:cs="Times New Roman"/>
          <w:b w:val="0"/>
          <w:bCs/>
          <w:color w:val="auto"/>
          <w:sz w:val="32"/>
          <w:szCs w:val="32"/>
          <w:highlight w:val="none"/>
          <w:lang w:val="en-US" w:eastAsia="zh-CN"/>
        </w:rPr>
        <w:t>主线，</w:t>
      </w:r>
      <w:r>
        <w:rPr>
          <w:rFonts w:hint="eastAsia" w:ascii="仿宋_GB2312" w:hAnsi="仿宋_GB2312" w:eastAsia="仿宋_GB2312" w:cs="仿宋_GB2312"/>
          <w:b w:val="0"/>
          <w:bCs/>
          <w:color w:val="auto"/>
          <w:sz w:val="32"/>
          <w:szCs w:val="32"/>
          <w:highlight w:val="none"/>
          <w:lang w:val="en-US" w:eastAsia="zh-CN"/>
        </w:rPr>
        <w:t>以自治区“营商环境质量提升年”为</w:t>
      </w:r>
      <w:r>
        <w:rPr>
          <w:rFonts w:hint="default" w:ascii="Times New Roman" w:hAnsi="Times New Roman" w:eastAsia="仿宋_GB2312" w:cs="Times New Roman"/>
          <w:b w:val="0"/>
          <w:bCs/>
          <w:color w:val="auto"/>
          <w:sz w:val="32"/>
          <w:szCs w:val="32"/>
          <w:highlight w:val="none"/>
          <w:lang w:val="en-US" w:eastAsia="zh-CN"/>
        </w:rPr>
        <w:t>契机，锚定</w:t>
      </w:r>
      <w:r>
        <w:rPr>
          <w:rFonts w:hint="eastAsia" w:ascii="仿宋_GB2312" w:hAnsi="仿宋_GB2312" w:eastAsia="仿宋_GB2312" w:cs="仿宋_GB2312"/>
          <w:b w:val="0"/>
          <w:bCs/>
          <w:color w:val="auto"/>
          <w:sz w:val="32"/>
          <w:szCs w:val="32"/>
          <w:highlight w:val="none"/>
          <w:lang w:val="en-US" w:eastAsia="zh-CN"/>
        </w:rPr>
        <w:t>“全区领先、全国靠前”目</w:t>
      </w:r>
      <w:r>
        <w:rPr>
          <w:rFonts w:hint="default" w:ascii="Times New Roman" w:hAnsi="Times New Roman" w:eastAsia="仿宋_GB2312" w:cs="Times New Roman"/>
          <w:b w:val="0"/>
          <w:bCs/>
          <w:color w:val="auto"/>
          <w:sz w:val="32"/>
          <w:szCs w:val="32"/>
          <w:highlight w:val="none"/>
          <w:lang w:val="en-US" w:eastAsia="zh-CN"/>
        </w:rPr>
        <w:t>标，聚焦企业全生命周期和高质量发展，围绕涉企服务</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政务</w:t>
      </w:r>
      <w:r>
        <w:rPr>
          <w:rFonts w:hint="eastAsia" w:ascii="Times New Roman" w:hAnsi="Times New Roman" w:eastAsia="仿宋_GB2312" w:cs="Times New Roman"/>
          <w:b w:val="0"/>
          <w:bCs/>
          <w:color w:val="auto"/>
          <w:sz w:val="32"/>
          <w:szCs w:val="32"/>
          <w:highlight w:val="none"/>
          <w:lang w:val="en-US" w:eastAsia="zh-CN"/>
        </w:rPr>
        <w:t>效能</w:t>
      </w:r>
      <w:r>
        <w:rPr>
          <w:rFonts w:hint="default" w:ascii="Times New Roman" w:hAnsi="Times New Roman" w:eastAsia="仿宋_GB2312" w:cs="Times New Roman"/>
          <w:b w:val="0"/>
          <w:bCs/>
          <w:color w:val="auto"/>
          <w:sz w:val="32"/>
          <w:szCs w:val="32"/>
          <w:highlight w:val="none"/>
          <w:lang w:val="en-US" w:eastAsia="zh-CN"/>
        </w:rPr>
        <w:t>、市场竞争、产业生态、法治环境、社会人文</w:t>
      </w:r>
      <w:r>
        <w:rPr>
          <w:rFonts w:hint="eastAsia" w:ascii="Times New Roman" w:hAnsi="Times New Roman" w:eastAsia="仿宋_GB2312" w:cs="Times New Roman"/>
          <w:b w:val="0"/>
          <w:bCs/>
          <w:color w:val="auto"/>
          <w:sz w:val="32"/>
          <w:szCs w:val="32"/>
          <w:highlight w:val="none"/>
          <w:lang w:val="en-US" w:eastAsia="zh-CN"/>
        </w:rPr>
        <w:t>六</w:t>
      </w:r>
      <w:r>
        <w:rPr>
          <w:rFonts w:hint="default" w:ascii="Times New Roman" w:hAnsi="Times New Roman" w:eastAsia="仿宋_GB2312" w:cs="Times New Roman"/>
          <w:b w:val="0"/>
          <w:bCs/>
          <w:color w:val="auto"/>
          <w:sz w:val="32"/>
          <w:szCs w:val="32"/>
          <w:highlight w:val="none"/>
          <w:lang w:val="en-US" w:eastAsia="zh-CN"/>
        </w:rPr>
        <w:t>个方面，系统推动营商环境建设提质增效，服务能力、服务效率、服务质量全面提升，持续擦</w:t>
      </w:r>
      <w:r>
        <w:rPr>
          <w:rFonts w:hint="eastAsia" w:ascii="仿宋_GB2312" w:hAnsi="仿宋_GB2312" w:eastAsia="仿宋_GB2312" w:cs="仿宋_GB2312"/>
          <w:b w:val="0"/>
          <w:bCs/>
          <w:color w:val="auto"/>
          <w:sz w:val="32"/>
          <w:szCs w:val="32"/>
          <w:highlight w:val="none"/>
          <w:lang w:val="en-US" w:eastAsia="zh-CN"/>
        </w:rPr>
        <w:t>亮“暖城五心”营</w:t>
      </w:r>
      <w:r>
        <w:rPr>
          <w:rFonts w:hint="default" w:ascii="Times New Roman" w:hAnsi="Times New Roman" w:eastAsia="仿宋_GB2312" w:cs="Times New Roman"/>
          <w:b w:val="0"/>
          <w:bCs/>
          <w:color w:val="auto"/>
          <w:sz w:val="32"/>
          <w:szCs w:val="32"/>
          <w:highlight w:val="none"/>
          <w:lang w:val="en-US" w:eastAsia="zh-CN"/>
        </w:rPr>
        <w:t>商环境品牌，打造更具吸引力、竞争力的市场化、法治化、国际化一流营商环境，制定本方案。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一、做优经营主体全生命周期服务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 w:val="0"/>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（一）</w:t>
      </w:r>
      <w:r>
        <w:rPr>
          <w:rFonts w:hint="default" w:ascii="Times New Roman" w:hAnsi="Times New Roman" w:eastAsia="仿宋_GB2312" w:cs="Times New Roman"/>
          <w:b w:val="0"/>
          <w:bCs/>
          <w:color w:val="auto"/>
          <w:sz w:val="32"/>
          <w:szCs w:val="32"/>
          <w:highlight w:val="none"/>
          <w:lang w:val="en-US" w:eastAsia="zh-CN"/>
        </w:rPr>
        <w:t>市场准入。全面落实市场准入负面清单制度，建立市场准入负面清单信息公开机制。持续破除市场准入壁垒，畅通问题反馈渠道，定期排查、通报、整治违背清单的典型案例。落实市场准入负面清单制度效能评估机制，开</w:t>
      </w:r>
      <w:r>
        <w:rPr>
          <w:rFonts w:hint="eastAsia" w:ascii="仿宋_GB2312" w:hAnsi="仿宋_GB2312" w:eastAsia="仿宋_GB2312" w:cs="仿宋_GB2312"/>
          <w:b w:val="0"/>
          <w:bCs/>
          <w:color w:val="auto"/>
          <w:sz w:val="32"/>
          <w:szCs w:val="32"/>
          <w:highlight w:val="none"/>
          <w:lang w:val="en-US" w:eastAsia="zh-CN"/>
        </w:rPr>
        <w:t>展2025年</w:t>
      </w:r>
      <w:r>
        <w:rPr>
          <w:rFonts w:hint="default" w:ascii="Times New Roman" w:hAnsi="Times New Roman" w:eastAsia="仿宋_GB2312" w:cs="Times New Roman"/>
          <w:b w:val="0"/>
          <w:bCs/>
          <w:color w:val="auto"/>
          <w:sz w:val="32"/>
          <w:szCs w:val="32"/>
          <w:highlight w:val="none"/>
          <w:lang w:val="en-US" w:eastAsia="zh-CN"/>
        </w:rPr>
        <w:t>度市场准入效能评估工作。</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市发展和改革委员会</w:t>
      </w:r>
      <w:r>
        <w:rPr>
          <w:rFonts w:hint="default" w:ascii="Times New Roman" w:hAnsi="Times New Roman" w:eastAsia="楷体_GB2312" w:cs="Times New Roman"/>
          <w:b w:val="0"/>
          <w:bCs/>
          <w:color w:val="auto"/>
          <w:sz w:val="32"/>
          <w:szCs w:val="32"/>
          <w:highlight w:val="none"/>
          <w:lang w:val="en-US" w:eastAsia="zh-CN"/>
        </w:rPr>
        <w:t>、市商务局、</w:t>
      </w:r>
      <w:r>
        <w:rPr>
          <w:rFonts w:hint="eastAsia" w:ascii="Times New Roman" w:hAnsi="Times New Roman" w:eastAsia="楷体_GB2312" w:cs="Times New Roman"/>
          <w:b w:val="0"/>
          <w:bCs/>
          <w:color w:val="auto"/>
          <w:sz w:val="32"/>
          <w:szCs w:val="32"/>
          <w:highlight w:val="none"/>
          <w:lang w:val="en-US" w:eastAsia="zh-CN"/>
        </w:rPr>
        <w:t>市市场监督管理局</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市行政审批政务服务与数据管理局，</w:t>
      </w:r>
      <w:r>
        <w:rPr>
          <w:rFonts w:hint="default" w:ascii="Times New Roman" w:hAnsi="Times New Roman" w:eastAsia="楷体_GB2312" w:cs="Times New Roman"/>
          <w:b w:val="0"/>
          <w:bCs/>
          <w:color w:val="auto"/>
          <w:sz w:val="32"/>
          <w:szCs w:val="32"/>
          <w:highlight w:val="none"/>
          <w:lang w:val="en-US" w:eastAsia="zh-CN"/>
        </w:rPr>
        <w:t>各旗区人民政府</w:t>
      </w:r>
      <w:r>
        <w:rPr>
          <w:rFonts w:hint="eastAsia" w:ascii="Times New Roman" w:hAnsi="Times New Roman" w:eastAsia="楷体_GB2312" w:cs="Times New Roman"/>
          <w:b w:val="0"/>
          <w:bCs/>
          <w:color w:val="auto"/>
          <w:sz w:val="32"/>
          <w:szCs w:val="32"/>
          <w:highlight w:val="none"/>
          <w:lang w:val="en-US" w:eastAsia="zh-CN"/>
        </w:rPr>
        <w:t>，各经济开发区、园区管理委员会</w:t>
      </w:r>
      <w:r>
        <w:rPr>
          <w:rFonts w:hint="default" w:ascii="Times New Roman" w:hAnsi="Times New Roman" w:eastAsia="楷体_GB2312" w:cs="Times New Roman"/>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 w:val="0"/>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（二）</w:t>
      </w:r>
      <w:r>
        <w:rPr>
          <w:rFonts w:hint="default" w:ascii="Times New Roman" w:hAnsi="Times New Roman" w:eastAsia="仿宋_GB2312" w:cs="Times New Roman"/>
          <w:b w:val="0"/>
          <w:bCs/>
          <w:color w:val="auto"/>
          <w:sz w:val="32"/>
          <w:szCs w:val="32"/>
          <w:highlight w:val="none"/>
          <w:lang w:val="en-US" w:eastAsia="zh-CN"/>
        </w:rPr>
        <w:t>获取经营场所。探索重大项目联审联</w:t>
      </w:r>
      <w:r>
        <w:rPr>
          <w:rFonts w:hint="eastAsia" w:ascii="仿宋_GB2312" w:hAnsi="仿宋_GB2312" w:eastAsia="仿宋_GB2312" w:cs="仿宋_GB2312"/>
          <w:b w:val="0"/>
          <w:bCs/>
          <w:color w:val="auto"/>
          <w:sz w:val="32"/>
          <w:szCs w:val="32"/>
          <w:highlight w:val="none"/>
          <w:lang w:val="en-US" w:eastAsia="zh-CN"/>
        </w:rPr>
        <w:t>批“容缺受理”，</w:t>
      </w:r>
      <w:r>
        <w:rPr>
          <w:rFonts w:hint="default" w:ascii="Times New Roman" w:hAnsi="Times New Roman" w:eastAsia="仿宋_GB2312" w:cs="Times New Roman"/>
          <w:b w:val="0"/>
          <w:bCs/>
          <w:color w:val="auto"/>
          <w:sz w:val="32"/>
          <w:szCs w:val="32"/>
          <w:highlight w:val="none"/>
          <w:lang w:val="en-US" w:eastAsia="zh-CN"/>
        </w:rPr>
        <w:t>进一步提高项目审批效率。推动全流程在线审批，通过建立工程建设项目审批管理系统与不动产登记系统数据交互机制，破解数据壁垒，实现</w:t>
      </w:r>
      <w:r>
        <w:rPr>
          <w:rFonts w:hint="eastAsia" w:ascii="仿宋_GB2312" w:hAnsi="仿宋_GB2312" w:eastAsia="仿宋_GB2312" w:cs="仿宋_GB2312"/>
          <w:b w:val="0"/>
          <w:bCs/>
          <w:color w:val="auto"/>
          <w:sz w:val="32"/>
          <w:szCs w:val="32"/>
          <w:highlight w:val="none"/>
          <w:lang w:val="en-US" w:eastAsia="zh-CN"/>
        </w:rPr>
        <w:t>“验收备案即办不动产首次登记”</w:t>
      </w:r>
      <w:r>
        <w:rPr>
          <w:rFonts w:hint="default" w:ascii="Times New Roman" w:hAnsi="Times New Roman" w:eastAsia="仿宋_GB2312" w:cs="Times New Roman"/>
          <w:b w:val="0"/>
          <w:bCs/>
          <w:color w:val="auto"/>
          <w:sz w:val="32"/>
          <w:szCs w:val="32"/>
          <w:highlight w:val="none"/>
          <w:lang w:val="en-US" w:eastAsia="zh-CN"/>
        </w:rPr>
        <w:t>的数据闭环管理。推动解决跨部门数据不通、监管低效等问题，建立全流程管理体系，用数字化赋能房屋建筑全生命周期管理升级，提升审批效率、降低企业制度性交易成本，增强企业获得感。推动全流程精细化在线审批申报，探索</w:t>
      </w:r>
      <w:r>
        <w:rPr>
          <w:rFonts w:hint="eastAsia" w:ascii="仿宋_GB2312" w:hAnsi="仿宋_GB2312" w:eastAsia="仿宋_GB2312" w:cs="仿宋_GB2312"/>
          <w:b w:val="0"/>
          <w:bCs/>
          <w:color w:val="auto"/>
          <w:sz w:val="32"/>
          <w:szCs w:val="32"/>
          <w:highlight w:val="none"/>
          <w:lang w:val="en-US" w:eastAsia="zh-CN"/>
        </w:rPr>
        <w:t>“情景式”</w:t>
      </w:r>
      <w:r>
        <w:rPr>
          <w:rFonts w:hint="default" w:ascii="Times New Roman" w:hAnsi="Times New Roman" w:eastAsia="仿宋_GB2312" w:cs="Times New Roman"/>
          <w:b w:val="0"/>
          <w:bCs/>
          <w:color w:val="auto"/>
          <w:sz w:val="32"/>
          <w:szCs w:val="32"/>
          <w:highlight w:val="none"/>
          <w:lang w:val="en-US" w:eastAsia="zh-CN"/>
        </w:rPr>
        <w:t>报建审批方式，开通</w:t>
      </w:r>
      <w:r>
        <w:rPr>
          <w:rFonts w:hint="eastAsia" w:ascii="仿宋_GB2312" w:hAnsi="仿宋_GB2312" w:eastAsia="仿宋_GB2312" w:cs="仿宋_GB2312"/>
          <w:b w:val="0"/>
          <w:bCs/>
          <w:color w:val="auto"/>
          <w:sz w:val="32"/>
          <w:szCs w:val="32"/>
          <w:highlight w:val="none"/>
          <w:lang w:val="en-US" w:eastAsia="zh-CN"/>
        </w:rPr>
        <w:t>“无纸</w:t>
      </w:r>
      <w:r>
        <w:rPr>
          <w:rFonts w:hint="default" w:ascii="Times New Roman" w:hAnsi="Times New Roman" w:eastAsia="仿宋_GB2312" w:cs="Times New Roman"/>
          <w:b w:val="0"/>
          <w:bCs/>
          <w:color w:val="auto"/>
          <w:sz w:val="32"/>
          <w:szCs w:val="32"/>
          <w:highlight w:val="none"/>
          <w:lang w:val="en-US" w:eastAsia="zh-CN"/>
        </w:rPr>
        <w:t>化审</w:t>
      </w:r>
      <w:r>
        <w:rPr>
          <w:rFonts w:hint="eastAsia" w:ascii="仿宋_GB2312" w:hAnsi="仿宋_GB2312" w:eastAsia="仿宋_GB2312" w:cs="仿宋_GB2312"/>
          <w:b w:val="0"/>
          <w:bCs/>
          <w:color w:val="auto"/>
          <w:sz w:val="32"/>
          <w:szCs w:val="32"/>
          <w:highlight w:val="none"/>
          <w:lang w:val="en-US" w:eastAsia="zh-CN"/>
        </w:rPr>
        <w:t>批+自定义批文签章”模</w:t>
      </w:r>
      <w:r>
        <w:rPr>
          <w:rFonts w:hint="default" w:ascii="Times New Roman" w:hAnsi="Times New Roman" w:eastAsia="仿宋_GB2312" w:cs="Times New Roman"/>
          <w:b w:val="0"/>
          <w:bCs/>
          <w:color w:val="auto"/>
          <w:sz w:val="32"/>
          <w:szCs w:val="32"/>
          <w:highlight w:val="none"/>
          <w:lang w:val="en-US" w:eastAsia="zh-CN"/>
        </w:rPr>
        <w:t>块，推动工程建设领域项目报建审批提质增效。健全房地产后端监管，提高房屋交易便利度、房屋交易安全性。推动不动产登记电子证照多领域业务联动，进一步提高办事便利度。深化</w:t>
      </w:r>
      <w:r>
        <w:rPr>
          <w:rFonts w:hint="eastAsia" w:ascii="仿宋_GB2312" w:hAnsi="仿宋_GB2312" w:eastAsia="仿宋_GB2312" w:cs="仿宋_GB2312"/>
          <w:b w:val="0"/>
          <w:bCs/>
          <w:color w:val="auto"/>
          <w:sz w:val="32"/>
          <w:szCs w:val="32"/>
          <w:highlight w:val="none"/>
          <w:lang w:val="en-US" w:eastAsia="zh-CN"/>
        </w:rPr>
        <w:t>“高效办成一件事”和</w:t>
      </w:r>
      <w:r>
        <w:rPr>
          <w:rFonts w:hint="default" w:ascii="Times New Roman" w:hAnsi="Times New Roman" w:eastAsia="仿宋_GB2312" w:cs="Times New Roman"/>
          <w:b w:val="0"/>
          <w:bCs/>
          <w:color w:val="auto"/>
          <w:sz w:val="32"/>
          <w:szCs w:val="32"/>
          <w:highlight w:val="none"/>
          <w:lang w:val="en-US" w:eastAsia="zh-CN"/>
        </w:rPr>
        <w:t>不动产登记延伸服务，积极探</w:t>
      </w:r>
      <w:r>
        <w:rPr>
          <w:rFonts w:hint="eastAsia" w:ascii="仿宋_GB2312" w:hAnsi="仿宋_GB2312" w:eastAsia="仿宋_GB2312" w:cs="仿宋_GB2312"/>
          <w:b w:val="0"/>
          <w:bCs/>
          <w:color w:val="auto"/>
          <w:sz w:val="32"/>
          <w:szCs w:val="32"/>
          <w:highlight w:val="none"/>
          <w:lang w:val="en-US" w:eastAsia="zh-CN"/>
        </w:rPr>
        <w:t>索“云受理”、高频事项“视频办”等服务模</w:t>
      </w:r>
      <w:r>
        <w:rPr>
          <w:rFonts w:hint="default" w:ascii="Times New Roman" w:hAnsi="Times New Roman" w:eastAsia="仿宋_GB2312" w:cs="Times New Roman"/>
          <w:b w:val="0"/>
          <w:bCs/>
          <w:color w:val="auto"/>
          <w:sz w:val="32"/>
          <w:szCs w:val="32"/>
          <w:highlight w:val="none"/>
          <w:lang w:val="en-US" w:eastAsia="zh-CN"/>
        </w:rPr>
        <w:t>式。</w:t>
      </w:r>
      <w:r>
        <w:rPr>
          <w:rFonts w:hint="default" w:ascii="Times New Roman" w:hAnsi="Times New Roman" w:eastAsia="楷体_GB2312" w:cs="Times New Roman"/>
          <w:b w:val="0"/>
          <w:bCs/>
          <w:color w:val="auto"/>
          <w:sz w:val="32"/>
          <w:szCs w:val="32"/>
          <w:highlight w:val="none"/>
          <w:lang w:val="en-US" w:eastAsia="zh-CN"/>
        </w:rPr>
        <w:t>（责任单位：市自然资源局、</w:t>
      </w:r>
      <w:r>
        <w:rPr>
          <w:rFonts w:hint="eastAsia" w:ascii="Times New Roman" w:hAnsi="Times New Roman" w:eastAsia="楷体_GB2312" w:cs="Times New Roman"/>
          <w:b w:val="0"/>
          <w:bCs/>
          <w:color w:val="auto"/>
          <w:sz w:val="32"/>
          <w:szCs w:val="32"/>
          <w:highlight w:val="none"/>
          <w:lang w:val="en-US" w:eastAsia="zh-CN"/>
        </w:rPr>
        <w:t>市住房和城乡建设局</w:t>
      </w:r>
      <w:r>
        <w:rPr>
          <w:rFonts w:hint="default" w:ascii="Times New Roman" w:hAnsi="Times New Roman" w:eastAsia="楷体_GB2312" w:cs="Times New Roman"/>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 w:val="0"/>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（三）</w:t>
      </w:r>
      <w:r>
        <w:rPr>
          <w:rFonts w:hint="default" w:ascii="Times New Roman" w:hAnsi="Times New Roman" w:eastAsia="仿宋_GB2312" w:cs="Times New Roman"/>
          <w:b w:val="0"/>
          <w:bCs/>
          <w:color w:val="auto"/>
          <w:sz w:val="32"/>
          <w:szCs w:val="32"/>
          <w:highlight w:val="none"/>
          <w:lang w:val="en-US" w:eastAsia="zh-CN"/>
        </w:rPr>
        <w:t>公用事业服务。全面提升城市供水保障能力，推进城镇供水设施合理布局，统筹推进供水设施与老旧管网更新改造，加强城镇居民饮用水水质监测管理。加强市政基础设施运行安全管理，在关键部位安装物联感知设备，实现对设施运行状态的实时监测和预警。探索</w:t>
      </w:r>
      <w:r>
        <w:rPr>
          <w:rFonts w:hint="eastAsia" w:ascii="仿宋_GB2312" w:hAnsi="仿宋_GB2312" w:eastAsia="仿宋_GB2312" w:cs="仿宋_GB2312"/>
          <w:b w:val="0"/>
          <w:bCs/>
          <w:color w:val="auto"/>
          <w:sz w:val="32"/>
          <w:szCs w:val="32"/>
          <w:highlight w:val="none"/>
          <w:lang w:val="en-US" w:eastAsia="zh-CN"/>
        </w:rPr>
        <w:t>“政企融合”公</w:t>
      </w:r>
      <w:r>
        <w:rPr>
          <w:rFonts w:hint="default" w:ascii="Times New Roman" w:hAnsi="Times New Roman" w:eastAsia="仿宋_GB2312" w:cs="Times New Roman"/>
          <w:b w:val="0"/>
          <w:bCs/>
          <w:color w:val="auto"/>
          <w:sz w:val="32"/>
          <w:szCs w:val="32"/>
          <w:highlight w:val="none"/>
          <w:lang w:val="en-US" w:eastAsia="zh-CN"/>
        </w:rPr>
        <w:t>共服务新模式，在电力营业厅设</w:t>
      </w:r>
      <w:r>
        <w:rPr>
          <w:rFonts w:hint="eastAsia" w:ascii="仿宋_GB2312" w:hAnsi="仿宋_GB2312" w:eastAsia="仿宋_GB2312" w:cs="仿宋_GB2312"/>
          <w:b w:val="0"/>
          <w:bCs/>
          <w:color w:val="auto"/>
          <w:sz w:val="32"/>
          <w:szCs w:val="32"/>
          <w:highlight w:val="none"/>
          <w:lang w:val="en-US" w:eastAsia="zh-CN"/>
        </w:rPr>
        <w:t>立“政企融合”综</w:t>
      </w:r>
      <w:r>
        <w:rPr>
          <w:rFonts w:hint="default" w:ascii="Times New Roman" w:hAnsi="Times New Roman" w:eastAsia="仿宋_GB2312" w:cs="Times New Roman"/>
          <w:b w:val="0"/>
          <w:bCs/>
          <w:color w:val="auto"/>
          <w:sz w:val="32"/>
          <w:szCs w:val="32"/>
          <w:highlight w:val="none"/>
          <w:lang w:val="en-US" w:eastAsia="zh-CN"/>
        </w:rPr>
        <w:t>合服务窗口，推动政务服务向基层延伸。推动电网规划与充电设施建设协同开展，确保充电设施</w:t>
      </w:r>
      <w:r>
        <w:rPr>
          <w:rFonts w:hint="eastAsia" w:ascii="仿宋_GB2312" w:hAnsi="仿宋_GB2312" w:eastAsia="仿宋_GB2312" w:cs="仿宋_GB2312"/>
          <w:b w:val="0"/>
          <w:bCs/>
          <w:color w:val="auto"/>
          <w:sz w:val="32"/>
          <w:szCs w:val="32"/>
          <w:highlight w:val="none"/>
          <w:lang w:val="en-US" w:eastAsia="zh-CN"/>
        </w:rPr>
        <w:t>“建成即接入、投运即可用”，</w:t>
      </w:r>
      <w:r>
        <w:rPr>
          <w:rFonts w:hint="default" w:ascii="Times New Roman" w:hAnsi="Times New Roman" w:eastAsia="仿宋_GB2312" w:cs="Times New Roman"/>
          <w:b w:val="0"/>
          <w:bCs/>
          <w:color w:val="auto"/>
          <w:sz w:val="32"/>
          <w:szCs w:val="32"/>
          <w:highlight w:val="none"/>
          <w:lang w:val="en-US" w:eastAsia="zh-CN"/>
        </w:rPr>
        <w:t>加快构建便捷高效、覆盖广泛的充电服务网络。系统性优化电网运维体系，重点强化应急处置能力，全面提升电网的韧性、可靠性及应急处置效能。</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市发展和改革委员会</w:t>
      </w:r>
      <w:r>
        <w:rPr>
          <w:rFonts w:hint="default" w:ascii="Times New Roman" w:hAnsi="Times New Roman" w:eastAsia="楷体_GB2312" w:cs="Times New Roman"/>
          <w:b w:val="0"/>
          <w:bCs/>
          <w:color w:val="auto"/>
          <w:sz w:val="32"/>
          <w:szCs w:val="32"/>
          <w:highlight w:val="none"/>
          <w:lang w:val="en-US" w:eastAsia="zh-CN"/>
        </w:rPr>
        <w:t>、市自然资源局、</w:t>
      </w:r>
      <w:r>
        <w:rPr>
          <w:rFonts w:hint="eastAsia" w:ascii="Times New Roman" w:hAnsi="Times New Roman" w:eastAsia="楷体_GB2312" w:cs="Times New Roman"/>
          <w:b w:val="0"/>
          <w:bCs/>
          <w:color w:val="auto"/>
          <w:sz w:val="32"/>
          <w:szCs w:val="32"/>
          <w:highlight w:val="none"/>
          <w:lang w:val="en-US" w:eastAsia="zh-CN"/>
        </w:rPr>
        <w:t>市住房和城乡建设局</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市能源局、市行政审批政务服务与数据管理局</w:t>
      </w:r>
      <w:r>
        <w:rPr>
          <w:rFonts w:hint="default" w:ascii="Times New Roman" w:hAnsi="Times New Roman" w:eastAsia="楷体_GB2312" w:cs="Times New Roman"/>
          <w:b w:val="0"/>
          <w:bCs/>
          <w:color w:val="auto"/>
          <w:sz w:val="32"/>
          <w:szCs w:val="32"/>
          <w:highlight w:val="none"/>
          <w:lang w:val="en-US" w:eastAsia="zh-CN"/>
        </w:rPr>
        <w:t>、市水利局、鄂尔多斯供电公司</w:t>
      </w:r>
      <w:r>
        <w:rPr>
          <w:rFonts w:hint="eastAsia" w:ascii="Times New Roman" w:hAnsi="Times New Roman" w:eastAsia="楷体_GB2312" w:cs="Times New Roman"/>
          <w:b w:val="0"/>
          <w:bCs/>
          <w:color w:val="auto"/>
          <w:sz w:val="32"/>
          <w:szCs w:val="32"/>
          <w:highlight w:val="none"/>
          <w:lang w:val="en-US" w:eastAsia="zh-CN"/>
        </w:rPr>
        <w:t>，</w:t>
      </w:r>
      <w:r>
        <w:rPr>
          <w:rFonts w:hint="default" w:ascii="Times New Roman" w:hAnsi="Times New Roman" w:eastAsia="楷体_GB2312" w:cs="Times New Roman"/>
          <w:b w:val="0"/>
          <w:bCs/>
          <w:color w:val="auto"/>
          <w:sz w:val="32"/>
          <w:szCs w:val="32"/>
          <w:highlight w:val="none"/>
          <w:lang w:val="en-US" w:eastAsia="zh-CN"/>
        </w:rPr>
        <w:t>各旗区人民政府）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b w:val="0"/>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（四）</w:t>
      </w:r>
      <w:r>
        <w:rPr>
          <w:rFonts w:hint="default" w:ascii="Times New Roman" w:hAnsi="Times New Roman" w:eastAsia="仿宋_GB2312" w:cs="Times New Roman"/>
          <w:b w:val="0"/>
          <w:bCs/>
          <w:color w:val="auto"/>
          <w:sz w:val="32"/>
          <w:szCs w:val="32"/>
          <w:highlight w:val="none"/>
          <w:lang w:val="en-US" w:eastAsia="zh-CN"/>
        </w:rPr>
        <w:t>劳动就业。</w:t>
      </w:r>
      <w:r>
        <w:rPr>
          <w:rFonts w:hint="eastAsia" w:ascii="仿宋_GB2312" w:hAnsi="仿宋_GB2312" w:eastAsia="仿宋_GB2312" w:cs="仿宋_GB2312"/>
          <w:b w:val="0"/>
          <w:bCs/>
          <w:color w:val="auto"/>
          <w:sz w:val="32"/>
          <w:szCs w:val="32"/>
          <w:highlight w:val="none"/>
          <w:lang w:val="en-US" w:eastAsia="zh-CN"/>
        </w:rPr>
        <w:t>优化“暖城就业服务站”布局与标准</w:t>
      </w:r>
      <w:r>
        <w:rPr>
          <w:rFonts w:hint="default" w:ascii="Times New Roman" w:hAnsi="Times New Roman" w:eastAsia="仿宋_GB2312" w:cs="Times New Roman"/>
          <w:b w:val="0"/>
          <w:bCs/>
          <w:color w:val="auto"/>
          <w:sz w:val="32"/>
          <w:szCs w:val="32"/>
          <w:highlight w:val="none"/>
          <w:lang w:val="en-US" w:eastAsia="zh-CN"/>
        </w:rPr>
        <w:t>化建设，推进就业服务数字化，强化基层服务平台与人员配置。健全完善</w:t>
      </w:r>
      <w:r>
        <w:rPr>
          <w:rFonts w:hint="eastAsia" w:ascii="仿宋_GB2312" w:hAnsi="仿宋_GB2312" w:eastAsia="仿宋_GB2312" w:cs="仿宋_GB2312"/>
          <w:b w:val="0"/>
          <w:bCs/>
          <w:color w:val="auto"/>
          <w:sz w:val="32"/>
          <w:szCs w:val="32"/>
          <w:highlight w:val="none"/>
          <w:lang w:val="en-US" w:eastAsia="zh-CN"/>
        </w:rPr>
        <w:t>“线上+线下”属地</w:t>
      </w:r>
      <w:r>
        <w:rPr>
          <w:rFonts w:hint="default" w:ascii="Times New Roman" w:hAnsi="Times New Roman" w:eastAsia="仿宋_GB2312" w:cs="Times New Roman"/>
          <w:b w:val="0"/>
          <w:bCs/>
          <w:color w:val="auto"/>
          <w:sz w:val="32"/>
          <w:szCs w:val="32"/>
          <w:highlight w:val="none"/>
          <w:lang w:val="en-US" w:eastAsia="zh-CN"/>
        </w:rPr>
        <w:t>吸附机制，加强维权热线、网络小程序、欠薪维权调解室的推广建设，推动劳动纠纷就地受理、就地调解、就地化解。搭建</w:t>
      </w:r>
      <w:r>
        <w:rPr>
          <w:rFonts w:hint="eastAsia" w:ascii="仿宋_GB2312" w:hAnsi="仿宋_GB2312" w:eastAsia="仿宋_GB2312" w:cs="仿宋_GB2312"/>
          <w:b w:val="0"/>
          <w:bCs/>
          <w:color w:val="auto"/>
          <w:sz w:val="32"/>
          <w:szCs w:val="32"/>
          <w:highlight w:val="none"/>
          <w:lang w:val="en-US" w:eastAsia="zh-CN"/>
        </w:rPr>
        <w:t>“区外协作+区内联动+线上线下融合”用</w:t>
      </w:r>
      <w:r>
        <w:rPr>
          <w:rFonts w:hint="default" w:ascii="Times New Roman" w:hAnsi="Times New Roman" w:eastAsia="仿宋_GB2312" w:cs="Times New Roman"/>
          <w:b w:val="0"/>
          <w:bCs/>
          <w:color w:val="auto"/>
          <w:sz w:val="32"/>
          <w:szCs w:val="32"/>
          <w:highlight w:val="none"/>
          <w:lang w:val="en-US" w:eastAsia="zh-CN"/>
        </w:rPr>
        <w:t>工保障机制，精准对接供需两端，着力解决企业用工需求，全力推进跨区域劳务协作。</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市人力资源和社会保障局</w:t>
      </w:r>
      <w:r>
        <w:rPr>
          <w:rFonts w:hint="default" w:ascii="Times New Roman" w:hAnsi="Times New Roman" w:eastAsia="楷体_GB2312" w:cs="Times New Roman"/>
          <w:b w:val="0"/>
          <w:bCs/>
          <w:color w:val="auto"/>
          <w:sz w:val="32"/>
          <w:szCs w:val="32"/>
          <w:highlight w:val="none"/>
          <w:lang w:val="en-US" w:eastAsia="zh-CN"/>
        </w:rPr>
        <w:t>、各行业主管部门</w:t>
      </w:r>
      <w:r>
        <w:rPr>
          <w:rFonts w:hint="eastAsia" w:ascii="Times New Roman" w:hAnsi="Times New Roman" w:eastAsia="楷体_GB2312" w:cs="Times New Roman"/>
          <w:b w:val="0"/>
          <w:bCs/>
          <w:color w:val="auto"/>
          <w:sz w:val="32"/>
          <w:szCs w:val="32"/>
          <w:highlight w:val="none"/>
          <w:lang w:val="en-US" w:eastAsia="zh-CN"/>
        </w:rPr>
        <w:t>，</w:t>
      </w:r>
      <w:r>
        <w:rPr>
          <w:rFonts w:hint="default" w:ascii="Times New Roman" w:hAnsi="Times New Roman" w:eastAsia="楷体_GB2312" w:cs="Times New Roman"/>
          <w:b w:val="0"/>
          <w:bCs/>
          <w:color w:val="auto"/>
          <w:sz w:val="32"/>
          <w:szCs w:val="32"/>
          <w:highlight w:val="none"/>
          <w:lang w:val="en-US" w:eastAsia="zh-CN"/>
        </w:rPr>
        <w:t>各旗区人民政府）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b w:val="0"/>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（五）</w:t>
      </w:r>
      <w:r>
        <w:rPr>
          <w:rFonts w:hint="default" w:ascii="Times New Roman" w:hAnsi="Times New Roman" w:eastAsia="仿宋_GB2312" w:cs="Times New Roman"/>
          <w:b w:val="0"/>
          <w:bCs/>
          <w:color w:val="auto"/>
          <w:sz w:val="32"/>
          <w:szCs w:val="32"/>
          <w:highlight w:val="none"/>
          <w:lang w:val="en-US" w:eastAsia="zh-CN"/>
        </w:rPr>
        <w:t>融资服务。鼓励金融机构加强信贷产品创新，加大对民营、普惠小微企业信贷支持力度，持续提升企业信贷资源可得性。积极推广应用各类融资服务平台，持续丰富数字化信用贷款产品体系，深入推进数字金融创新实践，提升金融服务的精准性。拓展经营主体多元化直接融资渠道。</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市发展和改革委员会</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市科学技术局</w:t>
      </w:r>
      <w:r>
        <w:rPr>
          <w:rFonts w:hint="default" w:ascii="Times New Roman" w:hAnsi="Times New Roman" w:eastAsia="楷体_GB2312" w:cs="Times New Roman"/>
          <w:b w:val="0"/>
          <w:bCs/>
          <w:color w:val="auto"/>
          <w:sz w:val="32"/>
          <w:szCs w:val="32"/>
          <w:highlight w:val="none"/>
          <w:lang w:val="en-US" w:eastAsia="zh-CN"/>
        </w:rPr>
        <w:t>、市财政局、</w:t>
      </w:r>
      <w:r>
        <w:rPr>
          <w:rFonts w:hint="eastAsia" w:ascii="Times New Roman" w:hAnsi="Times New Roman" w:eastAsia="楷体_GB2312" w:cs="Times New Roman"/>
          <w:b w:val="0"/>
          <w:bCs/>
          <w:color w:val="auto"/>
          <w:sz w:val="32"/>
          <w:szCs w:val="32"/>
          <w:highlight w:val="none"/>
          <w:lang w:val="en-US" w:eastAsia="zh-CN"/>
        </w:rPr>
        <w:t>市工业和信息化局</w:t>
      </w:r>
      <w:r>
        <w:rPr>
          <w:rFonts w:hint="default" w:ascii="Times New Roman" w:hAnsi="Times New Roman" w:eastAsia="楷体_GB2312" w:cs="Times New Roman"/>
          <w:b w:val="0"/>
          <w:bCs/>
          <w:color w:val="auto"/>
          <w:sz w:val="32"/>
          <w:szCs w:val="32"/>
          <w:highlight w:val="none"/>
          <w:lang w:val="en-US" w:eastAsia="zh-CN"/>
        </w:rPr>
        <w:t>、市能源局、中国人民银行鄂尔多斯市分行、鄂尔多斯金融</w:t>
      </w:r>
      <w:r>
        <w:rPr>
          <w:rFonts w:hint="eastAsia" w:ascii="Times New Roman" w:hAnsi="Times New Roman" w:eastAsia="楷体_GB2312" w:cs="Times New Roman"/>
          <w:b w:val="0"/>
          <w:bCs/>
          <w:color w:val="auto"/>
          <w:sz w:val="32"/>
          <w:szCs w:val="32"/>
          <w:highlight w:val="none"/>
          <w:lang w:val="en-US" w:eastAsia="zh-CN"/>
        </w:rPr>
        <w:t>监管</w:t>
      </w:r>
      <w:r>
        <w:rPr>
          <w:rFonts w:hint="default" w:ascii="Times New Roman" w:hAnsi="Times New Roman" w:eastAsia="楷体_GB2312" w:cs="Times New Roman"/>
          <w:b w:val="0"/>
          <w:bCs/>
          <w:color w:val="auto"/>
          <w:sz w:val="32"/>
          <w:szCs w:val="32"/>
          <w:highlight w:val="none"/>
          <w:lang w:val="en-US" w:eastAsia="zh-CN"/>
        </w:rPr>
        <w:t>分局）</w:t>
      </w:r>
    </w:p>
    <w:p>
      <w:pPr>
        <w:keepNext w:val="0"/>
        <w:keepLines w:val="0"/>
        <w:pageBreakBefore w:val="0"/>
        <w:widowControl w:val="0"/>
        <w:tabs>
          <w:tab w:val="left" w:pos="3570"/>
        </w:tabs>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 w:val="0"/>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（六）</w:t>
      </w:r>
      <w:r>
        <w:rPr>
          <w:rFonts w:hint="default" w:ascii="Times New Roman" w:hAnsi="Times New Roman" w:eastAsia="仿宋_GB2312" w:cs="Times New Roman"/>
          <w:b w:val="0"/>
          <w:bCs/>
          <w:color w:val="auto"/>
          <w:sz w:val="32"/>
          <w:szCs w:val="32"/>
          <w:highlight w:val="none"/>
          <w:lang w:val="en-US" w:eastAsia="zh-CN"/>
        </w:rPr>
        <w:t>对外开放。提升对外开放通关便利化水平，压缩通关时间。建立高效</w:t>
      </w:r>
      <w:r>
        <w:rPr>
          <w:rFonts w:hint="eastAsia" w:ascii="仿宋_GB2312" w:hAnsi="仿宋_GB2312" w:eastAsia="仿宋_GB2312" w:cs="仿宋_GB2312"/>
          <w:b w:val="0"/>
          <w:bCs/>
          <w:color w:val="auto"/>
          <w:sz w:val="32"/>
          <w:szCs w:val="32"/>
          <w:highlight w:val="none"/>
          <w:lang w:val="en-US" w:eastAsia="zh-CN"/>
        </w:rPr>
        <w:t>“出口孵化”服务</w:t>
      </w:r>
      <w:r>
        <w:rPr>
          <w:rFonts w:hint="default" w:ascii="Times New Roman" w:hAnsi="Times New Roman" w:eastAsia="仿宋_GB2312" w:cs="Times New Roman"/>
          <w:b w:val="0"/>
          <w:bCs/>
          <w:color w:val="auto"/>
          <w:sz w:val="32"/>
          <w:szCs w:val="32"/>
          <w:highlight w:val="none"/>
          <w:lang w:val="en-US" w:eastAsia="zh-CN"/>
        </w:rPr>
        <w:t>机制，加大高质量外贸主体培育力度。</w:t>
      </w:r>
      <w:r>
        <w:rPr>
          <w:rFonts w:hint="eastAsia" w:ascii="仿宋_GB2312" w:hAnsi="仿宋_GB2312" w:eastAsia="仿宋_GB2312" w:cs="仿宋_GB2312"/>
          <w:b w:val="0"/>
          <w:bCs/>
          <w:color w:val="auto"/>
          <w:sz w:val="32"/>
          <w:szCs w:val="32"/>
          <w:highlight w:val="none"/>
          <w:lang w:val="en-US" w:eastAsia="zh-CN"/>
        </w:rPr>
        <w:t>构建“跨境电商+”一体化</w:t>
      </w:r>
      <w:r>
        <w:rPr>
          <w:rFonts w:hint="default" w:ascii="Times New Roman" w:hAnsi="Times New Roman" w:eastAsia="仿宋_GB2312" w:cs="Times New Roman"/>
          <w:b w:val="0"/>
          <w:bCs/>
          <w:color w:val="auto"/>
          <w:sz w:val="32"/>
          <w:szCs w:val="32"/>
          <w:highlight w:val="none"/>
          <w:lang w:val="en-US" w:eastAsia="zh-CN"/>
        </w:rPr>
        <w:t>服务体系，推动优势产业出海效能升级。积极扩大自主开放与产业招商，大力吸引和利用外资，促进外资参与重点产业发展。</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市发展和改革委员会</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市工业和信息化局</w:t>
      </w:r>
      <w:r>
        <w:rPr>
          <w:rFonts w:hint="default" w:ascii="Times New Roman" w:hAnsi="Times New Roman" w:eastAsia="楷体_GB2312" w:cs="Times New Roman"/>
          <w:b w:val="0"/>
          <w:bCs/>
          <w:color w:val="auto"/>
          <w:sz w:val="32"/>
          <w:szCs w:val="32"/>
          <w:highlight w:val="none"/>
          <w:lang w:val="en-US" w:eastAsia="zh-CN"/>
        </w:rPr>
        <w:t>、市财政局、市商务局、</w:t>
      </w:r>
      <w:r>
        <w:rPr>
          <w:rFonts w:hint="eastAsia" w:ascii="Times New Roman" w:hAnsi="Times New Roman" w:eastAsia="楷体_GB2312" w:cs="Times New Roman"/>
          <w:b w:val="0"/>
          <w:bCs/>
          <w:color w:val="auto"/>
          <w:sz w:val="32"/>
          <w:szCs w:val="32"/>
          <w:highlight w:val="none"/>
          <w:lang w:val="en-US" w:eastAsia="zh-CN"/>
        </w:rPr>
        <w:t>市人民政府外事办公室</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市国有资产监督管理委员会</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市市场监督管理局</w:t>
      </w:r>
      <w:r>
        <w:rPr>
          <w:rFonts w:hint="default" w:ascii="Times New Roman" w:hAnsi="Times New Roman" w:eastAsia="楷体_GB2312" w:cs="Times New Roman"/>
          <w:b w:val="0"/>
          <w:bCs/>
          <w:color w:val="auto"/>
          <w:sz w:val="32"/>
          <w:szCs w:val="32"/>
          <w:highlight w:val="none"/>
          <w:lang w:val="en-US" w:eastAsia="zh-CN"/>
        </w:rPr>
        <w:t>、市能源局、</w:t>
      </w:r>
      <w:r>
        <w:rPr>
          <w:rFonts w:hint="eastAsia" w:ascii="Times New Roman" w:hAnsi="Times New Roman" w:eastAsia="楷体_GB2312" w:cs="Times New Roman"/>
          <w:b w:val="0"/>
          <w:bCs/>
          <w:color w:val="auto"/>
          <w:sz w:val="32"/>
          <w:szCs w:val="32"/>
          <w:highlight w:val="none"/>
          <w:lang w:val="en-US" w:eastAsia="zh-CN"/>
        </w:rPr>
        <w:t>市行政审批政务服务与数据管理局</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国家税务总局鄂尔多斯市税务局</w:t>
      </w:r>
      <w:r>
        <w:rPr>
          <w:rFonts w:hint="default" w:ascii="Times New Roman" w:hAnsi="Times New Roman" w:eastAsia="楷体_GB2312" w:cs="Times New Roman"/>
          <w:b w:val="0"/>
          <w:bCs/>
          <w:color w:val="auto"/>
          <w:sz w:val="32"/>
          <w:szCs w:val="32"/>
          <w:highlight w:val="none"/>
          <w:lang w:val="en-US" w:eastAsia="zh-CN"/>
        </w:rPr>
        <w:t>、鄂尔多斯海关、市财政和资本市场服务中心）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b w:val="0"/>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（七）</w:t>
      </w:r>
      <w:r>
        <w:rPr>
          <w:rFonts w:hint="default" w:ascii="Times New Roman" w:hAnsi="Times New Roman" w:eastAsia="仿宋_GB2312" w:cs="Times New Roman"/>
          <w:b w:val="0"/>
          <w:bCs/>
          <w:color w:val="auto"/>
          <w:sz w:val="32"/>
          <w:szCs w:val="32"/>
          <w:highlight w:val="none"/>
          <w:lang w:val="en-US" w:eastAsia="zh-CN"/>
        </w:rPr>
        <w:t>纳税。系统推进合规引导与分类精准辅导，依托办税服务厅改革成效，整合现有资源推动服务模式升级。全面推进涉企事项全业务线上办理，在全程网办基础上，实现办税服务</w:t>
      </w:r>
      <w:r>
        <w:rPr>
          <w:rFonts w:hint="eastAsia" w:ascii="仿宋_GB2312" w:hAnsi="仿宋_GB2312" w:eastAsia="仿宋_GB2312" w:cs="仿宋_GB2312"/>
          <w:b w:val="0"/>
          <w:bCs/>
          <w:color w:val="auto"/>
          <w:sz w:val="32"/>
          <w:szCs w:val="32"/>
          <w:highlight w:val="none"/>
          <w:lang w:val="en-US" w:eastAsia="zh-CN"/>
        </w:rPr>
        <w:t>“零接触”</w:t>
      </w:r>
      <w:r>
        <w:rPr>
          <w:rFonts w:hint="default" w:ascii="Times New Roman" w:hAnsi="Times New Roman" w:eastAsia="仿宋_GB2312" w:cs="Times New Roman"/>
          <w:b w:val="0"/>
          <w:bCs/>
          <w:color w:val="auto"/>
          <w:sz w:val="32"/>
          <w:szCs w:val="32"/>
          <w:highlight w:val="none"/>
          <w:lang w:val="en-US" w:eastAsia="zh-CN"/>
        </w:rPr>
        <w:t>。</w:t>
      </w:r>
      <w:r>
        <w:rPr>
          <w:rFonts w:hint="eastAsia" w:ascii="Times New Roman" w:hAnsi="Times New Roman" w:eastAsia="仿宋_GB2312" w:cs="Times New Roman"/>
          <w:b w:val="0"/>
          <w:bCs/>
          <w:color w:val="auto"/>
          <w:sz w:val="32"/>
          <w:szCs w:val="32"/>
          <w:highlight w:val="none"/>
          <w:lang w:val="en-US" w:eastAsia="zh-CN"/>
        </w:rPr>
        <w:t>加强</w:t>
      </w:r>
      <w:r>
        <w:rPr>
          <w:rFonts w:hint="default" w:ascii="Times New Roman" w:hAnsi="Times New Roman" w:eastAsia="仿宋_GB2312" w:cs="Times New Roman"/>
          <w:b w:val="0"/>
          <w:bCs/>
          <w:color w:val="auto"/>
          <w:sz w:val="32"/>
          <w:szCs w:val="32"/>
          <w:highlight w:val="none"/>
          <w:lang w:val="en-US" w:eastAsia="zh-CN"/>
        </w:rPr>
        <w:t>税费申报质量合规辅导，构建</w:t>
      </w:r>
      <w:r>
        <w:rPr>
          <w:rFonts w:hint="eastAsia" w:ascii="仿宋_GB2312" w:hAnsi="仿宋_GB2312" w:eastAsia="仿宋_GB2312" w:cs="仿宋_GB2312"/>
          <w:b w:val="0"/>
          <w:bCs/>
          <w:color w:val="auto"/>
          <w:sz w:val="32"/>
          <w:szCs w:val="32"/>
          <w:highlight w:val="none"/>
          <w:lang w:val="en-US" w:eastAsia="zh-CN"/>
        </w:rPr>
        <w:t>“评价—引导—反馈—优化”</w:t>
      </w:r>
      <w:r>
        <w:rPr>
          <w:rFonts w:hint="default" w:ascii="Times New Roman" w:hAnsi="Times New Roman" w:eastAsia="仿宋_GB2312" w:cs="Times New Roman"/>
          <w:b w:val="0"/>
          <w:bCs/>
          <w:color w:val="auto"/>
          <w:sz w:val="32"/>
          <w:szCs w:val="32"/>
          <w:highlight w:val="none"/>
          <w:lang w:val="en-US" w:eastAsia="zh-CN"/>
        </w:rPr>
        <w:t>的申报质量提升闭环机制。</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国家税务总局鄂尔多斯市税务局，</w:t>
      </w:r>
      <w:r>
        <w:rPr>
          <w:rFonts w:hint="default" w:ascii="Times New Roman" w:hAnsi="Times New Roman" w:eastAsia="楷体_GB2312" w:cs="Times New Roman"/>
          <w:b w:val="0"/>
          <w:bCs/>
          <w:color w:val="auto"/>
          <w:sz w:val="32"/>
          <w:szCs w:val="32"/>
          <w:highlight w:val="none"/>
          <w:lang w:val="en-US" w:eastAsia="zh-CN"/>
        </w:rPr>
        <w:t>各旗区人民政府）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b w:val="0"/>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（八）解决商业</w:t>
      </w:r>
      <w:r>
        <w:rPr>
          <w:rFonts w:hint="default" w:ascii="Times New Roman" w:hAnsi="Times New Roman" w:eastAsia="仿宋_GB2312" w:cs="Times New Roman"/>
          <w:b w:val="0"/>
          <w:bCs/>
          <w:color w:val="auto"/>
          <w:sz w:val="32"/>
          <w:szCs w:val="32"/>
          <w:highlight w:val="none"/>
          <w:lang w:val="en-US" w:eastAsia="zh-CN"/>
        </w:rPr>
        <w:t>纠纷。构建全市执</w:t>
      </w:r>
      <w:r>
        <w:rPr>
          <w:rFonts w:hint="eastAsia" w:ascii="仿宋_GB2312" w:hAnsi="仿宋_GB2312" w:eastAsia="仿宋_GB2312" w:cs="仿宋_GB2312"/>
          <w:b w:val="0"/>
          <w:bCs/>
          <w:color w:val="auto"/>
          <w:sz w:val="32"/>
          <w:szCs w:val="32"/>
          <w:highlight w:val="none"/>
          <w:lang w:val="en-US" w:eastAsia="zh-CN"/>
        </w:rPr>
        <w:t>行“一盘棋”工作体</w:t>
      </w:r>
      <w:r>
        <w:rPr>
          <w:rFonts w:hint="default" w:ascii="Times New Roman" w:hAnsi="Times New Roman" w:eastAsia="仿宋_GB2312" w:cs="Times New Roman"/>
          <w:b w:val="0"/>
          <w:bCs/>
          <w:color w:val="auto"/>
          <w:sz w:val="32"/>
          <w:szCs w:val="32"/>
          <w:highlight w:val="none"/>
          <w:lang w:val="en-US" w:eastAsia="zh-CN"/>
        </w:rPr>
        <w:t>系，探索推广执行案件律师调查令制度机制，深度运用交叉执行、执转破等工作机制加快终本案件清仓处理，全力兑现企业胜诉权益。加强跨部门联动，构建高效协同的刑事司法与民事执行衔接机制，依法保障胜诉企业合法权益。</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市中级人民法院、市人民检察院、市公安局</w:t>
      </w:r>
      <w:r>
        <w:rPr>
          <w:rFonts w:hint="default" w:ascii="Times New Roman" w:hAnsi="Times New Roman" w:eastAsia="楷体_GB2312" w:cs="Times New Roman"/>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b w:val="0"/>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（九）市场竞争</w:t>
      </w:r>
      <w:r>
        <w:rPr>
          <w:rFonts w:hint="default" w:ascii="Times New Roman" w:hAnsi="Times New Roman" w:eastAsia="仿宋_GB2312" w:cs="Times New Roman"/>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健全招标领域协同监管机制，全面推行“双随机、一公开”监管，提升监</w:t>
      </w:r>
      <w:r>
        <w:rPr>
          <w:rFonts w:hint="default" w:ascii="Times New Roman" w:hAnsi="Times New Roman" w:eastAsia="仿宋_GB2312" w:cs="Times New Roman"/>
          <w:b w:val="0"/>
          <w:bCs/>
          <w:color w:val="auto"/>
          <w:sz w:val="32"/>
          <w:szCs w:val="32"/>
          <w:highlight w:val="none"/>
          <w:lang w:val="en-US" w:eastAsia="zh-CN"/>
        </w:rPr>
        <w:t>管主动性和覆盖面。全面推行政府采购远程异地评审机制，维护公平公正市场秩序。</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市发展和改革委员会</w:t>
      </w:r>
      <w:r>
        <w:rPr>
          <w:rFonts w:hint="default" w:ascii="Times New Roman" w:hAnsi="Times New Roman" w:eastAsia="楷体_GB2312" w:cs="Times New Roman"/>
          <w:b w:val="0"/>
          <w:bCs/>
          <w:color w:val="auto"/>
          <w:sz w:val="32"/>
          <w:szCs w:val="32"/>
          <w:highlight w:val="none"/>
          <w:lang w:val="en-US" w:eastAsia="zh-CN"/>
        </w:rPr>
        <w:t>、市财政局、</w:t>
      </w:r>
      <w:r>
        <w:rPr>
          <w:rFonts w:hint="eastAsia" w:ascii="Times New Roman" w:hAnsi="Times New Roman" w:eastAsia="楷体_GB2312" w:cs="Times New Roman"/>
          <w:b w:val="0"/>
          <w:bCs/>
          <w:color w:val="auto"/>
          <w:sz w:val="32"/>
          <w:szCs w:val="32"/>
          <w:highlight w:val="none"/>
          <w:lang w:val="en-US" w:eastAsia="zh-CN"/>
        </w:rPr>
        <w:t>市住房和城乡建设局</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市交通运输局</w:t>
      </w:r>
      <w:r>
        <w:rPr>
          <w:rFonts w:hint="default" w:ascii="Times New Roman" w:hAnsi="Times New Roman" w:eastAsia="楷体_GB2312" w:cs="Times New Roman"/>
          <w:b w:val="0"/>
          <w:bCs/>
          <w:color w:val="auto"/>
          <w:sz w:val="32"/>
          <w:szCs w:val="32"/>
          <w:highlight w:val="none"/>
          <w:lang w:val="en-US" w:eastAsia="zh-CN"/>
        </w:rPr>
        <w:t>、市水利局、市农牧局、市能源局、</w:t>
      </w:r>
      <w:r>
        <w:rPr>
          <w:rFonts w:hint="eastAsia" w:ascii="Times New Roman" w:hAnsi="Times New Roman" w:eastAsia="楷体_GB2312" w:cs="Times New Roman"/>
          <w:b w:val="0"/>
          <w:bCs/>
          <w:color w:val="auto"/>
          <w:sz w:val="32"/>
          <w:szCs w:val="32"/>
          <w:highlight w:val="none"/>
          <w:lang w:val="en-US" w:eastAsia="zh-CN"/>
        </w:rPr>
        <w:t>市林业和草原局、</w:t>
      </w:r>
      <w:r>
        <w:rPr>
          <w:rFonts w:hint="default" w:ascii="Times New Roman" w:hAnsi="Times New Roman" w:eastAsia="楷体_GB2312" w:cs="Times New Roman"/>
          <w:b w:val="0"/>
          <w:bCs/>
          <w:color w:val="auto"/>
          <w:sz w:val="32"/>
          <w:szCs w:val="32"/>
          <w:highlight w:val="none"/>
          <w:lang w:val="en-US" w:eastAsia="zh-CN"/>
        </w:rPr>
        <w:t>市公共资源交易中心</w:t>
      </w:r>
      <w:r>
        <w:rPr>
          <w:rFonts w:hint="eastAsia" w:ascii="Times New Roman" w:hAnsi="Times New Roman" w:eastAsia="楷体_GB2312" w:cs="Times New Roman"/>
          <w:b w:val="0"/>
          <w:bCs/>
          <w:color w:val="auto"/>
          <w:sz w:val="32"/>
          <w:szCs w:val="32"/>
          <w:highlight w:val="none"/>
          <w:lang w:val="en-US" w:eastAsia="zh-CN"/>
        </w:rPr>
        <w:t>，</w:t>
      </w:r>
      <w:r>
        <w:rPr>
          <w:rFonts w:hint="default" w:ascii="Times New Roman" w:hAnsi="Times New Roman" w:eastAsia="楷体_GB2312" w:cs="Times New Roman"/>
          <w:b w:val="0"/>
          <w:bCs/>
          <w:color w:val="auto"/>
          <w:sz w:val="32"/>
          <w:szCs w:val="32"/>
          <w:highlight w:val="none"/>
          <w:lang w:val="en-US" w:eastAsia="zh-CN"/>
        </w:rPr>
        <w:t>各旗区人民政府）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 w:val="0"/>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（十）办理破产</w:t>
      </w:r>
      <w:r>
        <w:rPr>
          <w:rFonts w:hint="default" w:ascii="Times New Roman" w:hAnsi="Times New Roman" w:eastAsia="仿宋_GB2312" w:cs="Times New Roman"/>
          <w:b w:val="0"/>
          <w:bCs/>
          <w:color w:val="auto"/>
          <w:sz w:val="32"/>
          <w:szCs w:val="32"/>
          <w:highlight w:val="none"/>
          <w:lang w:val="en-US" w:eastAsia="zh-CN"/>
        </w:rPr>
        <w:t>。充分发挥破产信息平台作用，及时披露相关信息，实现破产程序公开透明。加大破产逃废债打击力度，维护诚信体系，加强管理人履职能力建设，提升破产办理综合质效。</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市中级人民法院、市人民检察院</w:t>
      </w:r>
      <w:r>
        <w:rPr>
          <w:rFonts w:hint="default" w:ascii="Times New Roman" w:hAnsi="Times New Roman" w:eastAsia="楷体_GB2312" w:cs="Times New Roman"/>
          <w:b w:val="0"/>
          <w:bCs/>
          <w:color w:val="auto"/>
          <w:sz w:val="32"/>
          <w:szCs w:val="32"/>
          <w:highlight w:val="none"/>
          <w:lang w:val="en-US" w:eastAsia="zh-CN"/>
        </w:rPr>
        <w:t>、市公安局）</w:t>
      </w:r>
    </w:p>
    <w:p>
      <w:pPr>
        <w:keepNext w:val="0"/>
        <w:keepLines w:val="0"/>
        <w:widowControl/>
        <w:suppressLineNumbers w:val="0"/>
        <w:ind w:firstLine="620" w:firstLineChars="200"/>
        <w:jc w:val="left"/>
        <w:rPr>
          <w:rFonts w:ascii="Times New Roman" w:hAnsi="Times New Roman" w:eastAsia="宋体" w:cs="Times New Roman"/>
          <w:b w:val="0"/>
          <w:bCs/>
          <w:color w:val="auto"/>
          <w:szCs w:val="24"/>
          <w:highlight w:val="none"/>
        </w:rPr>
      </w:pPr>
      <w:r>
        <w:rPr>
          <w:rFonts w:ascii="黑体" w:hAnsi="宋体" w:eastAsia="黑体" w:cs="黑体"/>
          <w:b w:val="0"/>
          <w:bCs/>
          <w:color w:val="auto"/>
          <w:kern w:val="0"/>
          <w:sz w:val="31"/>
          <w:szCs w:val="31"/>
          <w:highlight w:val="none"/>
          <w:lang w:val="en-US" w:eastAsia="zh-CN" w:bidi="ar"/>
        </w:rPr>
        <w:t>二、打造智慧高效的政务服务环境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一</w:t>
      </w:r>
      <w:r>
        <w:rPr>
          <w:rFonts w:hint="default" w:ascii="Times New Roman" w:hAnsi="Times New Roman" w:eastAsia="楷体_GB2312" w:cs="Times New Roman"/>
          <w:b w:val="0"/>
          <w:bCs/>
          <w:color w:val="auto"/>
          <w:sz w:val="32"/>
          <w:szCs w:val="32"/>
          <w:highlight w:val="none"/>
          <w:lang w:val="en-US" w:eastAsia="zh-CN"/>
        </w:rPr>
        <w:t>）提升惠企政策全流程服务效能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1.提</w:t>
      </w:r>
      <w:r>
        <w:rPr>
          <w:rFonts w:hint="default" w:ascii="Times New Roman" w:hAnsi="Times New Roman" w:eastAsia="仿宋_GB2312" w:cs="Times New Roman"/>
          <w:b w:val="0"/>
          <w:bCs/>
          <w:color w:val="auto"/>
          <w:sz w:val="32"/>
          <w:szCs w:val="32"/>
          <w:highlight w:val="none"/>
          <w:lang w:val="en-US" w:eastAsia="zh-CN"/>
        </w:rPr>
        <w:t>高政策服务效能。健全政策制定机制，完善企业家和中小微企业参与涉企政策制定常态化机制，推动形成经营主体建言献策的良好氛围，提高涉企政策的协同性、有效性。</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市发展和改革委员会</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各</w:t>
      </w:r>
      <w:r>
        <w:rPr>
          <w:rFonts w:hint="default" w:ascii="Times New Roman" w:hAnsi="Times New Roman" w:eastAsia="楷体_GB2312" w:cs="Times New Roman"/>
          <w:b w:val="0"/>
          <w:bCs/>
          <w:color w:val="auto"/>
          <w:sz w:val="32"/>
          <w:szCs w:val="32"/>
          <w:highlight w:val="none"/>
          <w:lang w:val="en-US" w:eastAsia="zh-CN"/>
        </w:rPr>
        <w:t>政策制定部门</w:t>
      </w:r>
      <w:r>
        <w:rPr>
          <w:rFonts w:hint="eastAsia" w:ascii="Times New Roman" w:hAnsi="Times New Roman" w:eastAsia="楷体_GB2312" w:cs="Times New Roman"/>
          <w:b w:val="0"/>
          <w:bCs/>
          <w:color w:val="auto"/>
          <w:sz w:val="32"/>
          <w:szCs w:val="32"/>
          <w:highlight w:val="none"/>
          <w:lang w:val="en-US" w:eastAsia="zh-CN"/>
        </w:rPr>
        <w:t>，</w:t>
      </w:r>
      <w:r>
        <w:rPr>
          <w:rFonts w:hint="default" w:ascii="Times New Roman" w:hAnsi="Times New Roman" w:eastAsia="楷体_GB2312" w:cs="Times New Roman"/>
          <w:b w:val="0"/>
          <w:bCs/>
          <w:color w:val="auto"/>
          <w:sz w:val="32"/>
          <w:szCs w:val="32"/>
          <w:highlight w:val="none"/>
          <w:lang w:val="en-US" w:eastAsia="zh-CN"/>
        </w:rPr>
        <w:t>各旗区人民政府</w:t>
      </w:r>
      <w:r>
        <w:rPr>
          <w:rFonts w:hint="eastAsia" w:ascii="Times New Roman" w:hAnsi="Times New Roman" w:eastAsia="楷体_GB2312" w:cs="Times New Roman"/>
          <w:b w:val="0"/>
          <w:bCs/>
          <w:color w:val="auto"/>
          <w:sz w:val="32"/>
          <w:szCs w:val="32"/>
          <w:highlight w:val="none"/>
          <w:lang w:val="en-US" w:eastAsia="zh-CN"/>
        </w:rPr>
        <w:t>，各经济开发区、园区管理委员会</w:t>
      </w:r>
      <w:r>
        <w:rPr>
          <w:rFonts w:hint="default" w:ascii="Times New Roman" w:hAnsi="Times New Roman" w:eastAsia="楷体_GB2312" w:cs="Times New Roman"/>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2.提升政策</w:t>
      </w:r>
      <w:r>
        <w:rPr>
          <w:rFonts w:hint="default" w:ascii="Times New Roman" w:hAnsi="Times New Roman" w:eastAsia="仿宋_GB2312" w:cs="Times New Roman"/>
          <w:b w:val="0"/>
          <w:bCs/>
          <w:color w:val="auto"/>
          <w:sz w:val="32"/>
          <w:szCs w:val="32"/>
          <w:highlight w:val="none"/>
          <w:lang w:val="en-US" w:eastAsia="zh-CN"/>
        </w:rPr>
        <w:t>解读效果。综合运用图文解说、动画视频、直播答疑、案例分析等通俗易懂形式，提供差异化、分众化解读内容。整合利用政府网站、政务新媒体、经济开发区（园区）等线上、线下平台，开</w:t>
      </w:r>
      <w:r>
        <w:rPr>
          <w:rFonts w:hint="eastAsia" w:ascii="仿宋_GB2312" w:hAnsi="仿宋_GB2312" w:eastAsia="仿宋_GB2312" w:cs="仿宋_GB2312"/>
          <w:b w:val="0"/>
          <w:bCs/>
          <w:color w:val="auto"/>
          <w:sz w:val="32"/>
          <w:szCs w:val="32"/>
          <w:highlight w:val="none"/>
          <w:lang w:val="en-US" w:eastAsia="zh-CN"/>
        </w:rPr>
        <w:t>展“政</w:t>
      </w:r>
      <w:r>
        <w:rPr>
          <w:rFonts w:hint="default" w:ascii="Times New Roman" w:hAnsi="Times New Roman" w:eastAsia="仿宋_GB2312" w:cs="Times New Roman"/>
          <w:b w:val="0"/>
          <w:bCs/>
          <w:color w:val="auto"/>
          <w:sz w:val="32"/>
          <w:szCs w:val="32"/>
          <w:highlight w:val="none"/>
          <w:lang w:val="en-US" w:eastAsia="zh-CN"/>
        </w:rPr>
        <w:t>企面对面</w:t>
      </w:r>
      <w:r>
        <w:rPr>
          <w:rFonts w:hint="eastAsia" w:ascii="仿宋_GB2312" w:hAnsi="仿宋_GB2312" w:eastAsia="仿宋_GB2312" w:cs="仿宋_GB2312"/>
          <w:b w:val="0"/>
          <w:bCs/>
          <w:color w:val="auto"/>
          <w:sz w:val="32"/>
          <w:szCs w:val="32"/>
          <w:highlight w:val="none"/>
          <w:lang w:val="en-US" w:eastAsia="zh-CN"/>
        </w:rPr>
        <w:t>、政策零距离”“科长讲政策”</w:t>
      </w:r>
      <w:r>
        <w:rPr>
          <w:rFonts w:hint="default" w:ascii="Times New Roman" w:hAnsi="Times New Roman" w:eastAsia="仿宋_GB2312" w:cs="Times New Roman"/>
          <w:b w:val="0"/>
          <w:bCs/>
          <w:color w:val="auto"/>
          <w:sz w:val="32"/>
          <w:szCs w:val="32"/>
          <w:highlight w:val="none"/>
          <w:lang w:val="en-US" w:eastAsia="zh-CN"/>
        </w:rPr>
        <w:t>等活动，扩大政策解读覆盖面和渗透力。分类完善</w:t>
      </w:r>
      <w:r>
        <w:rPr>
          <w:rFonts w:hint="eastAsia" w:ascii="仿宋_GB2312" w:hAnsi="仿宋_GB2312" w:eastAsia="仿宋_GB2312" w:cs="仿宋_GB2312"/>
          <w:b w:val="0"/>
          <w:bCs/>
          <w:color w:val="auto"/>
          <w:sz w:val="32"/>
          <w:szCs w:val="32"/>
          <w:highlight w:val="none"/>
          <w:lang w:val="en-US" w:eastAsia="zh-CN"/>
        </w:rPr>
        <w:t>“蒙企通”平台“</w:t>
      </w:r>
      <w:r>
        <w:rPr>
          <w:rFonts w:hint="default" w:ascii="Times New Roman" w:hAnsi="Times New Roman" w:eastAsia="仿宋_GB2312" w:cs="Times New Roman"/>
          <w:b w:val="0"/>
          <w:bCs/>
          <w:color w:val="auto"/>
          <w:sz w:val="32"/>
          <w:szCs w:val="32"/>
          <w:highlight w:val="none"/>
          <w:lang w:val="en-US" w:eastAsia="zh-CN"/>
        </w:rPr>
        <w:t>政策通晓</w:t>
      </w:r>
      <w:r>
        <w:rPr>
          <w:rFonts w:hint="eastAsia" w:ascii="仿宋_GB2312" w:hAnsi="仿宋_GB2312" w:eastAsia="仿宋_GB2312" w:cs="仿宋_GB2312"/>
          <w:b w:val="0"/>
          <w:bCs/>
          <w:color w:val="auto"/>
          <w:sz w:val="32"/>
          <w:szCs w:val="32"/>
          <w:highlight w:val="none"/>
          <w:lang w:val="en-US" w:eastAsia="zh-CN"/>
        </w:rPr>
        <w:t>卡”，依</w:t>
      </w:r>
      <w:r>
        <w:rPr>
          <w:rFonts w:hint="default" w:ascii="Times New Roman" w:hAnsi="Times New Roman" w:eastAsia="仿宋_GB2312" w:cs="Times New Roman"/>
          <w:b w:val="0"/>
          <w:bCs/>
          <w:color w:val="auto"/>
          <w:sz w:val="32"/>
          <w:szCs w:val="32"/>
          <w:highlight w:val="none"/>
          <w:lang w:val="en-US" w:eastAsia="zh-CN"/>
        </w:rPr>
        <w:t>托旗区村镇（街道）、经济开发区（园区）推动政策触达。</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市发展和改革委员会</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市科学技术局</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市工业和信息化局</w:t>
      </w:r>
      <w:r>
        <w:rPr>
          <w:rFonts w:hint="default" w:ascii="Times New Roman" w:hAnsi="Times New Roman" w:eastAsia="楷体_GB2312" w:cs="Times New Roman"/>
          <w:b w:val="0"/>
          <w:bCs/>
          <w:color w:val="auto"/>
          <w:sz w:val="32"/>
          <w:szCs w:val="32"/>
          <w:highlight w:val="none"/>
          <w:lang w:val="en-US" w:eastAsia="zh-CN"/>
        </w:rPr>
        <w:t>、市财政局、</w:t>
      </w:r>
      <w:r>
        <w:rPr>
          <w:rFonts w:hint="eastAsia" w:ascii="Times New Roman" w:hAnsi="Times New Roman" w:eastAsia="楷体_GB2312" w:cs="Times New Roman"/>
          <w:b w:val="0"/>
          <w:bCs/>
          <w:color w:val="auto"/>
          <w:sz w:val="32"/>
          <w:szCs w:val="32"/>
          <w:highlight w:val="none"/>
          <w:lang w:val="en-US" w:eastAsia="zh-CN"/>
        </w:rPr>
        <w:t>市人力资源和社会保障局</w:t>
      </w:r>
      <w:r>
        <w:rPr>
          <w:rFonts w:hint="default" w:ascii="Times New Roman" w:hAnsi="Times New Roman" w:eastAsia="楷体_GB2312" w:cs="Times New Roman"/>
          <w:b w:val="0"/>
          <w:bCs/>
          <w:color w:val="auto"/>
          <w:sz w:val="32"/>
          <w:szCs w:val="32"/>
          <w:highlight w:val="none"/>
          <w:lang w:val="en-US" w:eastAsia="zh-CN"/>
        </w:rPr>
        <w:t>、市生态环境局、</w:t>
      </w:r>
      <w:r>
        <w:rPr>
          <w:rFonts w:hint="eastAsia" w:ascii="Times New Roman" w:hAnsi="Times New Roman" w:eastAsia="楷体_GB2312" w:cs="Times New Roman"/>
          <w:b w:val="0"/>
          <w:bCs/>
          <w:color w:val="auto"/>
          <w:sz w:val="32"/>
          <w:szCs w:val="32"/>
          <w:highlight w:val="none"/>
          <w:lang w:val="en-US" w:eastAsia="zh-CN"/>
        </w:rPr>
        <w:t>市交通运输局</w:t>
      </w:r>
      <w:r>
        <w:rPr>
          <w:rFonts w:hint="default" w:ascii="Times New Roman" w:hAnsi="Times New Roman" w:eastAsia="楷体_GB2312" w:cs="Times New Roman"/>
          <w:b w:val="0"/>
          <w:bCs/>
          <w:color w:val="auto"/>
          <w:sz w:val="32"/>
          <w:szCs w:val="32"/>
          <w:highlight w:val="none"/>
          <w:lang w:val="en-US" w:eastAsia="zh-CN"/>
        </w:rPr>
        <w:t>、市水利局、市文化和旅游局、市应急管理局、市能源局、</w:t>
      </w:r>
      <w:r>
        <w:rPr>
          <w:rFonts w:hint="eastAsia" w:ascii="Times New Roman" w:hAnsi="Times New Roman" w:eastAsia="楷体_GB2312" w:cs="Times New Roman"/>
          <w:b w:val="0"/>
          <w:bCs/>
          <w:color w:val="auto"/>
          <w:sz w:val="32"/>
          <w:szCs w:val="32"/>
          <w:highlight w:val="none"/>
          <w:lang w:val="en-US" w:eastAsia="zh-CN"/>
        </w:rPr>
        <w:t>市行政审批政务服务与数据管理局</w:t>
      </w:r>
      <w:r>
        <w:rPr>
          <w:rFonts w:hint="default" w:ascii="Times New Roman" w:hAnsi="Times New Roman" w:eastAsia="楷体_GB2312" w:cs="Times New Roman"/>
          <w:b w:val="0"/>
          <w:bCs/>
          <w:color w:val="auto"/>
          <w:sz w:val="32"/>
          <w:szCs w:val="32"/>
          <w:highlight w:val="none"/>
          <w:lang w:val="en-US" w:eastAsia="zh-CN"/>
        </w:rPr>
        <w:t>等政策制定部门，各旗区人民政府，</w:t>
      </w:r>
      <w:r>
        <w:rPr>
          <w:rFonts w:hint="eastAsia" w:ascii="Times New Roman" w:hAnsi="Times New Roman" w:eastAsia="楷体_GB2312" w:cs="Times New Roman"/>
          <w:b w:val="0"/>
          <w:bCs/>
          <w:color w:val="auto"/>
          <w:sz w:val="32"/>
          <w:szCs w:val="32"/>
          <w:highlight w:val="none"/>
          <w:lang w:val="en-US" w:eastAsia="zh-CN"/>
        </w:rPr>
        <w:t>各经济开发区、园区管理委员会</w:t>
      </w:r>
      <w:r>
        <w:rPr>
          <w:rFonts w:hint="default" w:ascii="Times New Roman" w:hAnsi="Times New Roman" w:eastAsia="楷体_GB2312" w:cs="Times New Roman"/>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3.做优政</w:t>
      </w:r>
      <w:r>
        <w:rPr>
          <w:rFonts w:hint="default" w:ascii="Times New Roman" w:hAnsi="Times New Roman" w:eastAsia="仿宋_GB2312" w:cs="Times New Roman"/>
          <w:b w:val="0"/>
          <w:bCs/>
          <w:color w:val="auto"/>
          <w:sz w:val="32"/>
          <w:szCs w:val="32"/>
          <w:highlight w:val="none"/>
          <w:lang w:val="en-US" w:eastAsia="zh-CN"/>
        </w:rPr>
        <w:t>策兑现服务。推动市、旗区两级普惠性政策全面纳入政务服务网和</w:t>
      </w:r>
      <w:r>
        <w:rPr>
          <w:rFonts w:hint="eastAsia" w:ascii="仿宋_GB2312" w:hAnsi="仿宋_GB2312" w:eastAsia="仿宋_GB2312" w:cs="仿宋_GB2312"/>
          <w:b w:val="0"/>
          <w:bCs/>
          <w:color w:val="auto"/>
          <w:sz w:val="32"/>
          <w:szCs w:val="32"/>
          <w:highlight w:val="none"/>
          <w:lang w:val="en-US" w:eastAsia="zh-CN"/>
        </w:rPr>
        <w:t>“蒙速办”政</w:t>
      </w:r>
      <w:r>
        <w:rPr>
          <w:rFonts w:hint="default" w:ascii="Times New Roman" w:hAnsi="Times New Roman" w:eastAsia="仿宋_GB2312" w:cs="Times New Roman"/>
          <w:b w:val="0"/>
          <w:bCs/>
          <w:color w:val="auto"/>
          <w:sz w:val="32"/>
          <w:szCs w:val="32"/>
          <w:highlight w:val="none"/>
          <w:lang w:val="en-US" w:eastAsia="zh-CN"/>
        </w:rPr>
        <w:t>策库、政策计算器，依托大数据实现政策智能匹配与主动推送，推动申报类普惠性且具备政务数据共享条件的惠企政</w:t>
      </w:r>
      <w:r>
        <w:rPr>
          <w:rFonts w:hint="eastAsia" w:ascii="仿宋_GB2312" w:hAnsi="仿宋_GB2312" w:eastAsia="仿宋_GB2312" w:cs="仿宋_GB2312"/>
          <w:b w:val="0"/>
          <w:bCs/>
          <w:color w:val="auto"/>
          <w:sz w:val="32"/>
          <w:szCs w:val="32"/>
          <w:highlight w:val="none"/>
          <w:lang w:val="en-US" w:eastAsia="zh-CN"/>
        </w:rPr>
        <w:t>策“免申即享”。（</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市发展和改革委员会</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市科学技术局</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市工业和信息化局</w:t>
      </w:r>
      <w:r>
        <w:rPr>
          <w:rFonts w:hint="default" w:ascii="Times New Roman" w:hAnsi="Times New Roman" w:eastAsia="楷体_GB2312" w:cs="Times New Roman"/>
          <w:b w:val="0"/>
          <w:bCs/>
          <w:color w:val="auto"/>
          <w:sz w:val="32"/>
          <w:szCs w:val="32"/>
          <w:highlight w:val="none"/>
          <w:lang w:val="en-US" w:eastAsia="zh-CN"/>
        </w:rPr>
        <w:t>、市公安局、市民政局、市财政局、</w:t>
      </w:r>
      <w:r>
        <w:rPr>
          <w:rFonts w:hint="eastAsia" w:ascii="Times New Roman" w:hAnsi="Times New Roman" w:eastAsia="楷体_GB2312" w:cs="Times New Roman"/>
          <w:b w:val="0"/>
          <w:bCs/>
          <w:color w:val="auto"/>
          <w:sz w:val="32"/>
          <w:szCs w:val="32"/>
          <w:highlight w:val="none"/>
          <w:lang w:val="en-US" w:eastAsia="zh-CN"/>
        </w:rPr>
        <w:t>市人力资源和社会保障局</w:t>
      </w:r>
      <w:r>
        <w:rPr>
          <w:rFonts w:hint="default" w:ascii="Times New Roman" w:hAnsi="Times New Roman" w:eastAsia="楷体_GB2312" w:cs="Times New Roman"/>
          <w:b w:val="0"/>
          <w:bCs/>
          <w:color w:val="auto"/>
          <w:sz w:val="32"/>
          <w:szCs w:val="32"/>
          <w:highlight w:val="none"/>
          <w:lang w:val="en-US" w:eastAsia="zh-CN"/>
        </w:rPr>
        <w:t>、市生态环境局、</w:t>
      </w:r>
      <w:r>
        <w:rPr>
          <w:rFonts w:hint="eastAsia" w:ascii="Times New Roman" w:hAnsi="Times New Roman" w:eastAsia="楷体_GB2312" w:cs="Times New Roman"/>
          <w:b w:val="0"/>
          <w:bCs/>
          <w:color w:val="auto"/>
          <w:sz w:val="32"/>
          <w:szCs w:val="32"/>
          <w:highlight w:val="none"/>
          <w:lang w:val="en-US" w:eastAsia="zh-CN"/>
        </w:rPr>
        <w:t>市住房和城乡建设局</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市交通运输局</w:t>
      </w:r>
      <w:r>
        <w:rPr>
          <w:rFonts w:hint="default" w:ascii="Times New Roman" w:hAnsi="Times New Roman" w:eastAsia="楷体_GB2312" w:cs="Times New Roman"/>
          <w:b w:val="0"/>
          <w:bCs/>
          <w:color w:val="auto"/>
          <w:sz w:val="32"/>
          <w:szCs w:val="32"/>
          <w:highlight w:val="none"/>
          <w:lang w:val="en-US" w:eastAsia="zh-CN"/>
        </w:rPr>
        <w:t>、市水利局、市农牧局、市商务局、</w:t>
      </w:r>
      <w:r>
        <w:rPr>
          <w:rFonts w:hint="eastAsia" w:ascii="Times New Roman" w:hAnsi="Times New Roman" w:eastAsia="楷体_GB2312" w:cs="Times New Roman"/>
          <w:b w:val="0"/>
          <w:bCs/>
          <w:color w:val="auto"/>
          <w:sz w:val="32"/>
          <w:szCs w:val="32"/>
          <w:highlight w:val="none"/>
          <w:lang w:val="en-US" w:eastAsia="zh-CN"/>
        </w:rPr>
        <w:t>市文化和旅游局</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市卫生健康委员会</w:t>
      </w:r>
      <w:r>
        <w:rPr>
          <w:rFonts w:hint="default" w:ascii="Times New Roman" w:hAnsi="Times New Roman" w:eastAsia="楷体_GB2312" w:cs="Times New Roman"/>
          <w:b w:val="0"/>
          <w:bCs/>
          <w:color w:val="auto"/>
          <w:sz w:val="32"/>
          <w:szCs w:val="32"/>
          <w:highlight w:val="none"/>
          <w:lang w:val="en-US" w:eastAsia="zh-CN"/>
        </w:rPr>
        <w:t>、市应急管理局、</w:t>
      </w:r>
      <w:r>
        <w:rPr>
          <w:rFonts w:hint="eastAsia" w:ascii="Times New Roman" w:hAnsi="Times New Roman" w:eastAsia="楷体_GB2312" w:cs="Times New Roman"/>
          <w:b w:val="0"/>
          <w:bCs/>
          <w:color w:val="auto"/>
          <w:sz w:val="32"/>
          <w:szCs w:val="32"/>
          <w:highlight w:val="none"/>
          <w:lang w:val="en-US" w:eastAsia="zh-CN"/>
        </w:rPr>
        <w:t>市市场监督管理局</w:t>
      </w:r>
      <w:r>
        <w:rPr>
          <w:rFonts w:hint="default" w:ascii="Times New Roman" w:hAnsi="Times New Roman" w:eastAsia="楷体_GB2312" w:cs="Times New Roman"/>
          <w:b w:val="0"/>
          <w:bCs/>
          <w:color w:val="auto"/>
          <w:sz w:val="32"/>
          <w:szCs w:val="32"/>
          <w:highlight w:val="none"/>
          <w:lang w:val="en-US" w:eastAsia="zh-CN"/>
        </w:rPr>
        <w:t>、市能源局、</w:t>
      </w:r>
      <w:r>
        <w:rPr>
          <w:rFonts w:hint="eastAsia" w:ascii="Times New Roman" w:hAnsi="Times New Roman" w:eastAsia="楷体_GB2312" w:cs="Times New Roman"/>
          <w:b w:val="0"/>
          <w:bCs/>
          <w:color w:val="auto"/>
          <w:sz w:val="32"/>
          <w:szCs w:val="32"/>
          <w:highlight w:val="none"/>
          <w:lang w:val="en-US" w:eastAsia="zh-CN"/>
        </w:rPr>
        <w:t>市行政审批政务服务与数据管理局、国家税务总局鄂尔多斯市税务局，</w:t>
      </w:r>
      <w:r>
        <w:rPr>
          <w:rFonts w:hint="default" w:ascii="Times New Roman" w:hAnsi="Times New Roman" w:eastAsia="楷体_GB2312" w:cs="Times New Roman"/>
          <w:b w:val="0"/>
          <w:bCs/>
          <w:color w:val="auto"/>
          <w:sz w:val="32"/>
          <w:szCs w:val="32"/>
          <w:highlight w:val="none"/>
          <w:lang w:val="en-US" w:eastAsia="zh-CN"/>
        </w:rPr>
        <w:t>各旗区人民政府</w:t>
      </w:r>
      <w:r>
        <w:rPr>
          <w:rFonts w:hint="eastAsia" w:ascii="Times New Roman" w:hAnsi="Times New Roman" w:eastAsia="楷体_GB2312" w:cs="Times New Roman"/>
          <w:b w:val="0"/>
          <w:bCs/>
          <w:color w:val="auto"/>
          <w:sz w:val="32"/>
          <w:szCs w:val="32"/>
          <w:highlight w:val="none"/>
          <w:lang w:val="en-US" w:eastAsia="zh-CN"/>
        </w:rPr>
        <w:t>，各经济开发区、园区管理委员会</w:t>
      </w:r>
      <w:r>
        <w:rPr>
          <w:rFonts w:hint="default" w:ascii="Times New Roman" w:hAnsi="Times New Roman" w:eastAsia="楷体_GB2312" w:cs="Times New Roman"/>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二</w:t>
      </w:r>
      <w:r>
        <w:rPr>
          <w:rFonts w:hint="default" w:ascii="Times New Roman" w:hAnsi="Times New Roman" w:eastAsia="楷体_GB2312" w:cs="Times New Roman"/>
          <w:b w:val="0"/>
          <w:bCs/>
          <w:color w:val="auto"/>
          <w:sz w:val="32"/>
          <w:szCs w:val="32"/>
          <w:highlight w:val="none"/>
          <w:lang w:val="en-US" w:eastAsia="zh-CN"/>
        </w:rPr>
        <w:t>）深化智能化应用与服务提质增效</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1.强</w:t>
      </w:r>
      <w:r>
        <w:rPr>
          <w:rFonts w:hint="default" w:ascii="Times New Roman" w:hAnsi="Times New Roman" w:eastAsia="仿宋_GB2312" w:cs="Times New Roman"/>
          <w:b w:val="0"/>
          <w:bCs/>
          <w:color w:val="auto"/>
          <w:sz w:val="32"/>
          <w:szCs w:val="32"/>
          <w:highlight w:val="none"/>
          <w:lang w:val="en-US" w:eastAsia="zh-CN"/>
        </w:rPr>
        <w:t>化新技术赋能政务服务创新。</w:t>
      </w:r>
      <w:r>
        <w:rPr>
          <w:rFonts w:hint="eastAsia" w:ascii="仿宋_GB2312" w:hAnsi="仿宋_GB2312" w:eastAsia="仿宋_GB2312" w:cs="仿宋_GB2312"/>
          <w:b w:val="0"/>
          <w:bCs/>
          <w:color w:val="auto"/>
          <w:sz w:val="32"/>
          <w:szCs w:val="32"/>
          <w:highlight w:val="none"/>
          <w:lang w:val="en-US" w:eastAsia="zh-CN"/>
        </w:rPr>
        <w:t>积极探索“人工智能+政务服务”应用，推行智</w:t>
      </w:r>
      <w:r>
        <w:rPr>
          <w:rFonts w:hint="default" w:ascii="Times New Roman" w:hAnsi="Times New Roman" w:eastAsia="仿宋_GB2312" w:cs="Times New Roman"/>
          <w:b w:val="0"/>
          <w:bCs/>
          <w:color w:val="auto"/>
          <w:sz w:val="32"/>
          <w:szCs w:val="32"/>
          <w:highlight w:val="none"/>
          <w:lang w:val="en-US" w:eastAsia="zh-CN"/>
        </w:rPr>
        <w:t>能问答、智能预审、智能导办等服务模式，推动电子证照、电子印章在更多渠道和场景应用。</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市行政审批政务服务与数据管理局</w:t>
      </w:r>
      <w:r>
        <w:rPr>
          <w:rFonts w:hint="default" w:ascii="Times New Roman" w:hAnsi="Times New Roman" w:eastAsia="楷体_GB2312" w:cs="Times New Roman"/>
          <w:b w:val="0"/>
          <w:bCs/>
          <w:color w:val="auto"/>
          <w:sz w:val="32"/>
          <w:szCs w:val="32"/>
          <w:highlight w:val="none"/>
          <w:lang w:val="en-US" w:eastAsia="zh-CN"/>
        </w:rPr>
        <w:t>、市直各有关部门</w:t>
      </w:r>
      <w:r>
        <w:rPr>
          <w:rFonts w:hint="eastAsia" w:ascii="Times New Roman" w:hAnsi="Times New Roman" w:eastAsia="楷体_GB2312" w:cs="Times New Roman"/>
          <w:b w:val="0"/>
          <w:bCs/>
          <w:color w:val="auto"/>
          <w:sz w:val="32"/>
          <w:szCs w:val="32"/>
          <w:highlight w:val="none"/>
          <w:lang w:val="en-US" w:eastAsia="zh-CN"/>
        </w:rPr>
        <w:t>，</w:t>
      </w:r>
      <w:r>
        <w:rPr>
          <w:rFonts w:hint="default" w:ascii="Times New Roman" w:hAnsi="Times New Roman" w:eastAsia="楷体_GB2312" w:cs="Times New Roman"/>
          <w:b w:val="0"/>
          <w:bCs/>
          <w:color w:val="auto"/>
          <w:sz w:val="32"/>
          <w:szCs w:val="32"/>
          <w:highlight w:val="none"/>
          <w:lang w:val="en-US" w:eastAsia="zh-CN"/>
        </w:rPr>
        <w:t>各旗区人民政府）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2.推动政务服务线上线下深度融合。优化内蒙古政务服务网（鄂尔多斯）和“蒙速办”移动端服务功能，推广政务服务“云坐席”和“预审+分流”服务</w:t>
      </w:r>
      <w:r>
        <w:rPr>
          <w:rFonts w:hint="default" w:ascii="Times New Roman" w:hAnsi="Times New Roman" w:eastAsia="仿宋_GB2312" w:cs="Times New Roman"/>
          <w:b w:val="0"/>
          <w:bCs/>
          <w:color w:val="auto"/>
          <w:sz w:val="32"/>
          <w:szCs w:val="32"/>
          <w:highlight w:val="none"/>
          <w:lang w:val="en-US" w:eastAsia="zh-CN"/>
        </w:rPr>
        <w:t>模式，推动更多事项实现</w:t>
      </w:r>
      <w:r>
        <w:rPr>
          <w:rFonts w:hint="eastAsia" w:ascii="仿宋_GB2312" w:hAnsi="仿宋_GB2312" w:eastAsia="仿宋_GB2312" w:cs="仿宋_GB2312"/>
          <w:b w:val="0"/>
          <w:bCs/>
          <w:color w:val="auto"/>
          <w:sz w:val="32"/>
          <w:szCs w:val="32"/>
          <w:highlight w:val="none"/>
          <w:lang w:val="en-US" w:eastAsia="zh-CN"/>
        </w:rPr>
        <w:t>“网上可办、</w:t>
      </w:r>
      <w:r>
        <w:rPr>
          <w:rFonts w:hint="default" w:ascii="Times New Roman" w:hAnsi="Times New Roman" w:eastAsia="仿宋_GB2312" w:cs="Times New Roman"/>
          <w:b w:val="0"/>
          <w:bCs/>
          <w:color w:val="auto"/>
          <w:sz w:val="32"/>
          <w:szCs w:val="32"/>
          <w:highlight w:val="none"/>
          <w:lang w:val="en-US" w:eastAsia="zh-CN"/>
        </w:rPr>
        <w:t>全程</w:t>
      </w:r>
      <w:r>
        <w:rPr>
          <w:rFonts w:hint="eastAsia" w:ascii="仿宋_GB2312" w:hAnsi="仿宋_GB2312" w:eastAsia="仿宋_GB2312" w:cs="仿宋_GB2312"/>
          <w:b w:val="0"/>
          <w:bCs/>
          <w:color w:val="auto"/>
          <w:sz w:val="32"/>
          <w:szCs w:val="32"/>
          <w:highlight w:val="none"/>
          <w:lang w:val="en-US" w:eastAsia="zh-CN"/>
        </w:rPr>
        <w:t>网办”，</w:t>
      </w:r>
      <w:r>
        <w:rPr>
          <w:rFonts w:hint="default" w:ascii="Times New Roman" w:hAnsi="Times New Roman" w:eastAsia="仿宋_GB2312" w:cs="Times New Roman"/>
          <w:b w:val="0"/>
          <w:bCs/>
          <w:color w:val="auto"/>
          <w:sz w:val="32"/>
          <w:szCs w:val="32"/>
          <w:highlight w:val="none"/>
          <w:lang w:val="en-US" w:eastAsia="zh-CN"/>
        </w:rPr>
        <w:t>助力企业群众少跑快办、高效办事。</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市行政审批政务服务与数据管理局、</w:t>
      </w:r>
      <w:r>
        <w:rPr>
          <w:rFonts w:hint="default" w:ascii="Times New Roman" w:hAnsi="Times New Roman" w:eastAsia="楷体_GB2312" w:cs="Times New Roman"/>
          <w:b w:val="0"/>
          <w:bCs/>
          <w:color w:val="auto"/>
          <w:sz w:val="32"/>
          <w:szCs w:val="32"/>
          <w:highlight w:val="none"/>
          <w:lang w:val="en-US" w:eastAsia="zh-CN"/>
        </w:rPr>
        <w:t>市直各有关部门）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3.推动</w:t>
      </w:r>
      <w:r>
        <w:rPr>
          <w:rFonts w:hint="default" w:ascii="Times New Roman" w:hAnsi="Times New Roman" w:eastAsia="仿宋_GB2312" w:cs="Times New Roman"/>
          <w:b w:val="0"/>
          <w:bCs/>
          <w:color w:val="auto"/>
          <w:sz w:val="32"/>
          <w:szCs w:val="32"/>
          <w:highlight w:val="none"/>
          <w:lang w:val="en-US" w:eastAsia="zh-CN"/>
        </w:rPr>
        <w:t>涉企服务提质增效。规范运行企业服务专区，拓展涉企增值化服务。持续优化项目审批</w:t>
      </w:r>
      <w:r>
        <w:rPr>
          <w:rFonts w:hint="eastAsia" w:ascii="仿宋_GB2312" w:hAnsi="仿宋_GB2312" w:eastAsia="仿宋_GB2312" w:cs="仿宋_GB2312"/>
          <w:b w:val="0"/>
          <w:bCs/>
          <w:color w:val="auto"/>
          <w:sz w:val="32"/>
          <w:szCs w:val="32"/>
          <w:highlight w:val="none"/>
          <w:lang w:val="en-US" w:eastAsia="zh-CN"/>
        </w:rPr>
        <w:t>“帮办”服务流程</w:t>
      </w:r>
      <w:r>
        <w:rPr>
          <w:rFonts w:hint="default" w:ascii="Times New Roman" w:hAnsi="Times New Roman" w:eastAsia="仿宋_GB2312" w:cs="Times New Roman"/>
          <w:b w:val="0"/>
          <w:bCs/>
          <w:color w:val="auto"/>
          <w:sz w:val="32"/>
          <w:szCs w:val="32"/>
          <w:highlight w:val="none"/>
          <w:lang w:val="en-US" w:eastAsia="zh-CN"/>
        </w:rPr>
        <w:t>，强化跨层级、跨部门协同配合，助力项目加速落地。</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市行政审批政务服务与数据管理局</w:t>
      </w:r>
      <w:r>
        <w:rPr>
          <w:rFonts w:hint="default" w:ascii="Times New Roman" w:hAnsi="Times New Roman" w:eastAsia="楷体_GB2312" w:cs="Times New Roman"/>
          <w:b w:val="0"/>
          <w:bCs/>
          <w:color w:val="auto"/>
          <w:sz w:val="32"/>
          <w:szCs w:val="32"/>
          <w:highlight w:val="none"/>
          <w:lang w:val="en-US" w:eastAsia="zh-CN"/>
        </w:rPr>
        <w:t>、市直各有关部门</w:t>
      </w:r>
      <w:r>
        <w:rPr>
          <w:rFonts w:hint="eastAsia" w:ascii="Times New Roman" w:hAnsi="Times New Roman" w:eastAsia="楷体_GB2312" w:cs="Times New Roman"/>
          <w:b w:val="0"/>
          <w:bCs/>
          <w:color w:val="auto"/>
          <w:sz w:val="32"/>
          <w:szCs w:val="32"/>
          <w:highlight w:val="none"/>
          <w:lang w:val="en-US" w:eastAsia="zh-CN"/>
        </w:rPr>
        <w:t>，</w:t>
      </w:r>
      <w:r>
        <w:rPr>
          <w:rFonts w:hint="default" w:ascii="Times New Roman" w:hAnsi="Times New Roman" w:eastAsia="楷体_GB2312" w:cs="Times New Roman"/>
          <w:b w:val="0"/>
          <w:bCs/>
          <w:color w:val="auto"/>
          <w:sz w:val="32"/>
          <w:szCs w:val="32"/>
          <w:highlight w:val="none"/>
          <w:lang w:val="en-US" w:eastAsia="zh-CN"/>
        </w:rPr>
        <w:t>各旗区人民政府）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三</w:t>
      </w:r>
      <w:r>
        <w:rPr>
          <w:rFonts w:hint="default" w:ascii="Times New Roman" w:hAnsi="Times New Roman" w:eastAsia="楷体_GB2312" w:cs="Times New Roman"/>
          <w:b w:val="0"/>
          <w:bCs/>
          <w:color w:val="auto"/>
          <w:sz w:val="32"/>
          <w:szCs w:val="32"/>
          <w:highlight w:val="none"/>
          <w:lang w:val="en-US" w:eastAsia="zh-CN"/>
        </w:rPr>
        <w:t>）提升诉求解决效能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完善诉求闭环解决机制。发挥12345热线暖城总客服作用，优化涉企诉求分转、督办、反馈机制，实现企业高频咨询诉求以“三方通话”方式直连业</w:t>
      </w:r>
      <w:r>
        <w:rPr>
          <w:rFonts w:hint="default" w:ascii="Times New Roman" w:hAnsi="Times New Roman" w:eastAsia="仿宋_GB2312" w:cs="Times New Roman"/>
          <w:b w:val="0"/>
          <w:bCs/>
          <w:color w:val="auto"/>
          <w:sz w:val="32"/>
          <w:szCs w:val="32"/>
          <w:highlight w:val="none"/>
          <w:lang w:val="en-US" w:eastAsia="zh-CN"/>
        </w:rPr>
        <w:t>务部门政策专员，推动诉求快速解答。依托政务办件工单数据，针对企业开办、项目审批等重点领域开展满意度专项调查。</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市发展和改革委员会</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市行政审批政务服务与数据管理局</w:t>
      </w:r>
      <w:r>
        <w:rPr>
          <w:rFonts w:hint="default" w:ascii="Times New Roman" w:hAnsi="Times New Roman" w:eastAsia="楷体_GB2312" w:cs="Times New Roman"/>
          <w:b w:val="0"/>
          <w:bCs/>
          <w:color w:val="auto"/>
          <w:sz w:val="32"/>
          <w:szCs w:val="32"/>
          <w:highlight w:val="none"/>
          <w:lang w:val="en-US" w:eastAsia="zh-CN"/>
        </w:rPr>
        <w:t>、市经济合作服务中心</w:t>
      </w:r>
      <w:r>
        <w:rPr>
          <w:rFonts w:hint="eastAsia" w:ascii="Times New Roman" w:hAnsi="Times New Roman" w:eastAsia="楷体_GB2312" w:cs="Times New Roman"/>
          <w:b w:val="0"/>
          <w:bCs/>
          <w:color w:val="auto"/>
          <w:sz w:val="32"/>
          <w:szCs w:val="32"/>
          <w:highlight w:val="none"/>
          <w:lang w:val="en-US" w:eastAsia="zh-CN"/>
        </w:rPr>
        <w:t>，</w:t>
      </w:r>
      <w:r>
        <w:rPr>
          <w:rFonts w:hint="default" w:ascii="Times New Roman" w:hAnsi="Times New Roman" w:eastAsia="楷体_GB2312" w:cs="Times New Roman"/>
          <w:b w:val="0"/>
          <w:bCs/>
          <w:color w:val="auto"/>
          <w:sz w:val="32"/>
          <w:szCs w:val="32"/>
          <w:highlight w:val="none"/>
          <w:lang w:val="en-US" w:eastAsia="zh-CN"/>
        </w:rPr>
        <w:t>各旗区人民政府）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b w:val="0"/>
          <w:bCs/>
          <w:color w:val="auto"/>
          <w:sz w:val="32"/>
          <w:szCs w:val="32"/>
          <w:highlight w:val="none"/>
          <w:lang w:val="en-US" w:eastAsia="zh-CN"/>
        </w:rPr>
      </w:pPr>
      <w:r>
        <w:rPr>
          <w:rFonts w:hint="eastAsia" w:ascii="Times New Roman" w:hAnsi="Times New Roman" w:eastAsia="黑体" w:cs="Times New Roman"/>
          <w:b w:val="0"/>
          <w:bCs/>
          <w:color w:val="auto"/>
          <w:sz w:val="32"/>
          <w:szCs w:val="32"/>
          <w:highlight w:val="none"/>
          <w:lang w:val="en-US" w:eastAsia="zh-CN"/>
        </w:rPr>
        <w:t>三</w:t>
      </w:r>
      <w:r>
        <w:rPr>
          <w:rFonts w:hint="default" w:ascii="Times New Roman" w:hAnsi="Times New Roman" w:eastAsia="黑体" w:cs="Times New Roman"/>
          <w:b w:val="0"/>
          <w:bCs/>
          <w:color w:val="auto"/>
          <w:sz w:val="32"/>
          <w:szCs w:val="32"/>
          <w:highlight w:val="none"/>
          <w:lang w:val="en-US" w:eastAsia="zh-CN"/>
        </w:rPr>
        <w:t>、打造公平有序的市场竞争环境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（一）促进市场公平竞争</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平等对待</w:t>
      </w:r>
      <w:r>
        <w:rPr>
          <w:rFonts w:hint="default" w:ascii="Times New Roman" w:hAnsi="Times New Roman" w:eastAsia="仿宋_GB2312" w:cs="Times New Roman"/>
          <w:b w:val="0"/>
          <w:bCs/>
          <w:color w:val="auto"/>
          <w:sz w:val="32"/>
          <w:szCs w:val="32"/>
          <w:highlight w:val="none"/>
          <w:lang w:val="en-US" w:eastAsia="zh-CN"/>
        </w:rPr>
        <w:t>经营主体。严格落实公平竞争审查制度，创新审查方式，结合实际，探索在增量文件审查、存量文件清理、风险文件预警等方面，强化大数据、人工智能技术手段的应用，提升审查工作质效</w:t>
      </w:r>
      <w:r>
        <w:rPr>
          <w:rFonts w:hint="eastAsia" w:ascii="Times New Roman" w:hAnsi="Times New Roman" w:eastAsia="仿宋_GB2312" w:cs="Times New Roman"/>
          <w:b w:val="0"/>
          <w:bCs/>
          <w:color w:val="auto"/>
          <w:sz w:val="32"/>
          <w:szCs w:val="32"/>
          <w:highlight w:val="none"/>
          <w:lang w:val="en-US" w:eastAsia="zh-CN"/>
        </w:rPr>
        <w:t>，坚持对各类经营主体平等对待，促进经营主体公平参与市场竞争</w:t>
      </w:r>
      <w:r>
        <w:rPr>
          <w:rFonts w:hint="default"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市市场监督管理局，各旗区人民政府</w:t>
      </w:r>
      <w:r>
        <w:rPr>
          <w:rFonts w:hint="default" w:ascii="Times New Roman" w:hAnsi="Times New Roman" w:eastAsia="楷体_GB2312" w:cs="Times New Roman"/>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（二）强化知识产权服务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1.加强知识</w:t>
      </w:r>
      <w:r>
        <w:rPr>
          <w:rFonts w:hint="default" w:ascii="Times New Roman" w:hAnsi="Times New Roman" w:eastAsia="仿宋_GB2312" w:cs="Times New Roman"/>
          <w:b w:val="0"/>
          <w:bCs/>
          <w:color w:val="auto"/>
          <w:sz w:val="32"/>
          <w:szCs w:val="32"/>
          <w:highlight w:val="none"/>
          <w:lang w:val="en-US" w:eastAsia="zh-CN"/>
        </w:rPr>
        <w:t>产权保护。拓展诉讼服务中心知识产权服务功能，实现</w:t>
      </w:r>
      <w:r>
        <w:rPr>
          <w:rFonts w:hint="eastAsia" w:ascii="仿宋_GB2312" w:hAnsi="仿宋_GB2312" w:eastAsia="仿宋_GB2312" w:cs="仿宋_GB2312"/>
          <w:b w:val="0"/>
          <w:bCs/>
          <w:color w:val="auto"/>
          <w:sz w:val="32"/>
          <w:szCs w:val="32"/>
          <w:highlight w:val="none"/>
          <w:lang w:val="en-US" w:eastAsia="zh-CN"/>
        </w:rPr>
        <w:t>“一窗通办”。在</w:t>
      </w:r>
      <w:r>
        <w:rPr>
          <w:rFonts w:hint="default" w:ascii="Times New Roman" w:hAnsi="Times New Roman" w:eastAsia="仿宋_GB2312" w:cs="Times New Roman"/>
          <w:b w:val="0"/>
          <w:bCs/>
          <w:color w:val="auto"/>
          <w:sz w:val="32"/>
          <w:szCs w:val="32"/>
          <w:highlight w:val="none"/>
          <w:lang w:val="en-US" w:eastAsia="zh-CN"/>
        </w:rPr>
        <w:t>中小企业联合会设立知识产权保护工作站，建立案件快速受理和移送通道，严厉打击侵犯企业知识产权犯罪行为。</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市中级人民法院</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市人民检察院、市公安局、市市场监督管理局</w:t>
      </w:r>
      <w:r>
        <w:rPr>
          <w:rFonts w:hint="default" w:ascii="Times New Roman" w:hAnsi="Times New Roman" w:eastAsia="楷体_GB2312" w:cs="Times New Roman"/>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2.释</w:t>
      </w:r>
      <w:r>
        <w:rPr>
          <w:rFonts w:hint="default" w:ascii="Times New Roman" w:hAnsi="Times New Roman" w:eastAsia="仿宋_GB2312" w:cs="Times New Roman"/>
          <w:b w:val="0"/>
          <w:bCs/>
          <w:color w:val="auto"/>
          <w:sz w:val="32"/>
          <w:szCs w:val="32"/>
          <w:highlight w:val="none"/>
          <w:lang w:val="en-US" w:eastAsia="zh-CN"/>
        </w:rPr>
        <w:t>放知识产权效益。实施商标品牌战略，发挥集体商标、地理标志、蒙字标等</w:t>
      </w:r>
      <w:r>
        <w:rPr>
          <w:rFonts w:hint="eastAsia" w:ascii="Times New Roman" w:hAnsi="Times New Roman" w:eastAsia="仿宋_GB2312" w:cs="Times New Roman"/>
          <w:b w:val="0"/>
          <w:bCs/>
          <w:color w:val="auto"/>
          <w:sz w:val="32"/>
          <w:szCs w:val="32"/>
          <w:highlight w:val="none"/>
          <w:lang w:val="en-US" w:eastAsia="zh-CN"/>
        </w:rPr>
        <w:t>作用</w:t>
      </w:r>
      <w:r>
        <w:rPr>
          <w:rFonts w:hint="default" w:ascii="Times New Roman" w:hAnsi="Times New Roman" w:eastAsia="仿宋_GB2312" w:cs="Times New Roman"/>
          <w:b w:val="0"/>
          <w:bCs/>
          <w:color w:val="auto"/>
          <w:sz w:val="32"/>
          <w:szCs w:val="32"/>
          <w:highlight w:val="none"/>
          <w:lang w:val="en-US" w:eastAsia="zh-CN"/>
        </w:rPr>
        <w:t>助力特色经济和乡村振兴。加强知识产权质押融资，实现科技、产业与金融的良性循环，为经济发展注入新动能。</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市市场监督管理局，</w:t>
      </w:r>
      <w:r>
        <w:rPr>
          <w:rFonts w:hint="default" w:ascii="Times New Roman" w:hAnsi="Times New Roman" w:eastAsia="楷体_GB2312" w:cs="Times New Roman"/>
          <w:b w:val="0"/>
          <w:bCs/>
          <w:color w:val="auto"/>
          <w:sz w:val="32"/>
          <w:szCs w:val="32"/>
          <w:highlight w:val="none"/>
          <w:lang w:val="en-US" w:eastAsia="zh-CN"/>
        </w:rPr>
        <w:t>各旗区人民政府</w:t>
      </w:r>
      <w:r>
        <w:rPr>
          <w:rFonts w:hint="eastAsia" w:ascii="Times New Roman" w:hAnsi="Times New Roman" w:eastAsia="楷体_GB2312" w:cs="Times New Roman"/>
          <w:b w:val="0"/>
          <w:bCs/>
          <w:color w:val="auto"/>
          <w:sz w:val="32"/>
          <w:szCs w:val="32"/>
          <w:highlight w:val="none"/>
          <w:lang w:val="en-US" w:eastAsia="zh-CN"/>
        </w:rPr>
        <w:t>，各经济开发区、园区管理委员会</w:t>
      </w:r>
      <w:r>
        <w:rPr>
          <w:rFonts w:hint="default" w:ascii="Times New Roman" w:hAnsi="Times New Roman" w:eastAsia="楷体_GB2312" w:cs="Times New Roman"/>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3.推</w:t>
      </w:r>
      <w:r>
        <w:rPr>
          <w:rFonts w:hint="default" w:ascii="Times New Roman" w:hAnsi="Times New Roman" w:eastAsia="仿宋_GB2312" w:cs="Times New Roman"/>
          <w:b w:val="0"/>
          <w:bCs/>
          <w:color w:val="auto"/>
          <w:sz w:val="32"/>
          <w:szCs w:val="32"/>
          <w:highlight w:val="none"/>
          <w:lang w:val="en-US" w:eastAsia="zh-CN"/>
        </w:rPr>
        <w:t>进专利转化运用。持续深化高校和科研机构存量专利盘点盘活工作，推广运用专利开放许可制度，组织专利转化精准对接活动，提升运用效益，更好推动科技成果向现实生产力转化。</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市农牧局、市市场监督管理局、鄂尔多斯应用技术学院、鄂尔多斯职业学院、鄂尔多斯生态环境职业学院</w:t>
      </w:r>
      <w:r>
        <w:rPr>
          <w:rFonts w:hint="default" w:ascii="Times New Roman" w:hAnsi="Times New Roman" w:eastAsia="楷体_GB2312" w:cs="Times New Roman"/>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4.促</w:t>
      </w:r>
      <w:r>
        <w:rPr>
          <w:rFonts w:hint="default" w:ascii="Times New Roman" w:hAnsi="Times New Roman" w:eastAsia="仿宋_GB2312" w:cs="Times New Roman"/>
          <w:b w:val="0"/>
          <w:bCs/>
          <w:color w:val="auto"/>
          <w:sz w:val="32"/>
          <w:szCs w:val="32"/>
          <w:highlight w:val="none"/>
          <w:lang w:val="en-US" w:eastAsia="zh-CN"/>
        </w:rPr>
        <w:t>进纠纷多元化解。建立健全知识产权纠纷诉调对接、投诉与调解对接等工作机制，畅通线上线下维权渠道，提升纠纷多元化解质效，推动知识产权纠纷调解专业化、规范化发展。</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市中级人民法院</w:t>
      </w:r>
      <w:r>
        <w:rPr>
          <w:rFonts w:hint="default" w:ascii="Times New Roman" w:hAnsi="Times New Roman" w:eastAsia="楷体_GB2312" w:cs="Times New Roman"/>
          <w:b w:val="0"/>
          <w:bCs/>
          <w:color w:val="auto"/>
          <w:sz w:val="32"/>
          <w:szCs w:val="32"/>
          <w:highlight w:val="none"/>
          <w:lang w:val="en-US" w:eastAsia="zh-CN"/>
        </w:rPr>
        <w:t>、市司法局、</w:t>
      </w:r>
      <w:r>
        <w:rPr>
          <w:rFonts w:hint="eastAsia" w:ascii="Times New Roman" w:hAnsi="Times New Roman" w:eastAsia="楷体_GB2312" w:cs="Times New Roman"/>
          <w:b w:val="0"/>
          <w:bCs/>
          <w:color w:val="auto"/>
          <w:sz w:val="32"/>
          <w:szCs w:val="32"/>
          <w:highlight w:val="none"/>
          <w:lang w:val="en-US" w:eastAsia="zh-CN"/>
        </w:rPr>
        <w:t>市市场监督管理局</w:t>
      </w:r>
      <w:r>
        <w:rPr>
          <w:rFonts w:hint="default" w:ascii="Times New Roman" w:hAnsi="Times New Roman" w:eastAsia="楷体_GB2312" w:cs="Times New Roman"/>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（三）规范公共资源交易</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1.规范</w:t>
      </w:r>
      <w:r>
        <w:rPr>
          <w:rFonts w:hint="default" w:ascii="Times New Roman" w:hAnsi="Times New Roman" w:eastAsia="仿宋_GB2312" w:cs="Times New Roman"/>
          <w:b w:val="0"/>
          <w:bCs/>
          <w:color w:val="auto"/>
          <w:sz w:val="32"/>
          <w:szCs w:val="32"/>
          <w:highlight w:val="none"/>
          <w:lang w:val="en-US" w:eastAsia="zh-CN"/>
        </w:rPr>
        <w:t>招标投标活动。推行智能辅助评标模式在招标投标领域的创新应用，依托人工智能、大数据等手段提升评标质效。设立面向中</w:t>
      </w:r>
      <w:r>
        <w:rPr>
          <w:rFonts w:hint="eastAsia" w:ascii="仿宋_GB2312" w:hAnsi="仿宋_GB2312" w:eastAsia="仿宋_GB2312" w:cs="仿宋_GB2312"/>
          <w:b w:val="0"/>
          <w:bCs/>
          <w:color w:val="auto"/>
          <w:sz w:val="32"/>
          <w:szCs w:val="32"/>
          <w:highlight w:val="none"/>
          <w:lang w:val="en-US" w:eastAsia="zh-CN"/>
        </w:rPr>
        <w:t>小企业的招标“项目池”</w:t>
      </w:r>
      <w:r>
        <w:rPr>
          <w:rFonts w:hint="default" w:ascii="Times New Roman" w:hAnsi="Times New Roman" w:eastAsia="仿宋_GB2312" w:cs="Times New Roman"/>
          <w:b w:val="0"/>
          <w:bCs/>
          <w:color w:val="auto"/>
          <w:sz w:val="32"/>
          <w:szCs w:val="32"/>
          <w:highlight w:val="none"/>
          <w:lang w:val="en-US" w:eastAsia="zh-CN"/>
        </w:rPr>
        <w:t>，通过精准化扶持举措，有效激活企业活力。规范合同款项支付，切实保障项目参与企业尤其是中小企业的资金周转与回款权益。</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市住房和城乡建设局</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市交通运输局</w:t>
      </w:r>
      <w:r>
        <w:rPr>
          <w:rFonts w:hint="default" w:ascii="Times New Roman" w:hAnsi="Times New Roman" w:eastAsia="楷体_GB2312" w:cs="Times New Roman"/>
          <w:b w:val="0"/>
          <w:bCs/>
          <w:color w:val="auto"/>
          <w:sz w:val="32"/>
          <w:szCs w:val="32"/>
          <w:highlight w:val="none"/>
          <w:lang w:val="en-US" w:eastAsia="zh-CN"/>
        </w:rPr>
        <w:t>、市水利局、市农牧局、市能源局、市林业和草原局、市公共资源交易中心</w:t>
      </w:r>
      <w:r>
        <w:rPr>
          <w:rFonts w:hint="eastAsia" w:ascii="Times New Roman" w:hAnsi="Times New Roman" w:eastAsia="楷体_GB2312" w:cs="Times New Roman"/>
          <w:b w:val="0"/>
          <w:bCs/>
          <w:color w:val="auto"/>
          <w:sz w:val="32"/>
          <w:szCs w:val="32"/>
          <w:highlight w:val="none"/>
          <w:lang w:val="en-US" w:eastAsia="zh-CN"/>
        </w:rPr>
        <w:t>、市政府投资项目代建中心，</w:t>
      </w:r>
      <w:r>
        <w:rPr>
          <w:rFonts w:hint="default" w:ascii="Times New Roman" w:hAnsi="Times New Roman" w:eastAsia="楷体_GB2312" w:cs="Times New Roman"/>
          <w:b w:val="0"/>
          <w:bCs/>
          <w:color w:val="auto"/>
          <w:sz w:val="32"/>
          <w:szCs w:val="32"/>
          <w:highlight w:val="none"/>
          <w:lang w:val="en-US" w:eastAsia="zh-CN"/>
        </w:rPr>
        <w:t>各旗区人民政府）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2.提升政府</w:t>
      </w:r>
      <w:r>
        <w:rPr>
          <w:rFonts w:hint="default" w:ascii="Times New Roman" w:hAnsi="Times New Roman" w:eastAsia="仿宋_GB2312" w:cs="Times New Roman"/>
          <w:b w:val="0"/>
          <w:bCs/>
          <w:color w:val="auto"/>
          <w:sz w:val="32"/>
          <w:szCs w:val="32"/>
          <w:highlight w:val="none"/>
          <w:lang w:val="en-US" w:eastAsia="zh-CN"/>
        </w:rPr>
        <w:t>采购效能。拓展人工智能技术应用场景，提升咨询处理效率与用户体验。提升政府采购资金使用效益，确保采购过程规范、公平和透明。提升政府采购全流程效能，实现采购周期更短、交易成本更低、资源配置更优。</w:t>
      </w:r>
      <w:r>
        <w:rPr>
          <w:rFonts w:hint="default" w:ascii="Times New Roman" w:hAnsi="Times New Roman" w:eastAsia="楷体_GB2312" w:cs="Times New Roman"/>
          <w:b w:val="0"/>
          <w:bCs/>
          <w:color w:val="auto"/>
          <w:sz w:val="32"/>
          <w:szCs w:val="32"/>
          <w:highlight w:val="none"/>
          <w:lang w:val="en-US" w:eastAsia="zh-CN"/>
        </w:rPr>
        <w:t>（责任单位：市财政局</w:t>
      </w:r>
      <w:r>
        <w:rPr>
          <w:rFonts w:hint="eastAsia" w:ascii="Times New Roman" w:hAnsi="Times New Roman" w:eastAsia="楷体_GB2312" w:cs="Times New Roman"/>
          <w:b w:val="0"/>
          <w:bCs/>
          <w:color w:val="auto"/>
          <w:sz w:val="32"/>
          <w:szCs w:val="32"/>
          <w:highlight w:val="none"/>
          <w:lang w:val="en-US" w:eastAsia="zh-CN"/>
        </w:rPr>
        <w:t>、</w:t>
      </w:r>
      <w:r>
        <w:rPr>
          <w:rFonts w:hint="default" w:ascii="Times New Roman" w:hAnsi="Times New Roman" w:eastAsia="楷体_GB2312" w:cs="Times New Roman"/>
          <w:b w:val="0"/>
          <w:bCs/>
          <w:color w:val="auto"/>
          <w:sz w:val="32"/>
          <w:szCs w:val="32"/>
          <w:highlight w:val="none"/>
          <w:lang w:val="en-US" w:eastAsia="zh-CN"/>
        </w:rPr>
        <w:t>市公共资源交易中心</w:t>
      </w:r>
      <w:r>
        <w:rPr>
          <w:rFonts w:hint="eastAsia" w:ascii="Times New Roman" w:hAnsi="Times New Roman" w:eastAsia="楷体_GB2312" w:cs="Times New Roman"/>
          <w:b w:val="0"/>
          <w:bCs/>
          <w:color w:val="auto"/>
          <w:sz w:val="32"/>
          <w:szCs w:val="32"/>
          <w:highlight w:val="none"/>
          <w:lang w:val="en-US" w:eastAsia="zh-CN"/>
        </w:rPr>
        <w:t>，</w:t>
      </w:r>
      <w:r>
        <w:rPr>
          <w:rFonts w:hint="default" w:ascii="Times New Roman" w:hAnsi="Times New Roman" w:eastAsia="楷体_GB2312" w:cs="Times New Roman"/>
          <w:b w:val="0"/>
          <w:bCs/>
          <w:color w:val="auto"/>
          <w:sz w:val="32"/>
          <w:szCs w:val="32"/>
          <w:highlight w:val="none"/>
          <w:lang w:val="en-US" w:eastAsia="zh-CN"/>
        </w:rPr>
        <w:t>各旗区人民政府）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（四）推动企业降本增效</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降低企业用地成本。常态化推进工业用地标准地出让，鼓励</w:t>
      </w:r>
      <w:r>
        <w:rPr>
          <w:rFonts w:hint="eastAsia" w:ascii="仿宋_GB2312" w:hAnsi="仿宋_GB2312" w:eastAsia="仿宋_GB2312" w:cs="仿宋_GB2312"/>
          <w:b w:val="0"/>
          <w:bCs/>
          <w:color w:val="auto"/>
          <w:sz w:val="32"/>
          <w:szCs w:val="32"/>
          <w:highlight w:val="none"/>
          <w:lang w:val="en-US" w:eastAsia="zh-CN"/>
        </w:rPr>
        <w:t>“先租后让”“长期租赁”“弹性年期出让”等</w:t>
      </w:r>
      <w:r>
        <w:rPr>
          <w:rFonts w:hint="default" w:ascii="Times New Roman" w:hAnsi="Times New Roman" w:eastAsia="仿宋_GB2312" w:cs="Times New Roman"/>
          <w:b w:val="0"/>
          <w:bCs/>
          <w:color w:val="auto"/>
          <w:sz w:val="32"/>
          <w:szCs w:val="32"/>
          <w:highlight w:val="none"/>
          <w:lang w:val="en-US" w:eastAsia="zh-CN"/>
        </w:rPr>
        <w:t>灵活供地方式。</w:t>
      </w:r>
      <w:r>
        <w:rPr>
          <w:rFonts w:hint="default" w:ascii="Times New Roman" w:hAnsi="Times New Roman" w:eastAsia="楷体_GB2312" w:cs="Times New Roman"/>
          <w:b w:val="0"/>
          <w:bCs/>
          <w:color w:val="auto"/>
          <w:sz w:val="32"/>
          <w:szCs w:val="32"/>
          <w:highlight w:val="none"/>
          <w:lang w:val="en-US" w:eastAsia="zh-CN"/>
        </w:rPr>
        <w:t>（责任单位：市自然资源局）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（五）畅通企业退出机制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完善企业退出机制。健全完善经营主体退出工作机制，开展</w:t>
      </w:r>
      <w:r>
        <w:rPr>
          <w:rFonts w:hint="eastAsia" w:ascii="仿宋_GB2312" w:hAnsi="仿宋_GB2312" w:eastAsia="仿宋_GB2312" w:cs="仿宋_GB2312"/>
          <w:b w:val="0"/>
          <w:bCs/>
          <w:color w:val="auto"/>
          <w:sz w:val="32"/>
          <w:szCs w:val="32"/>
          <w:highlight w:val="none"/>
          <w:lang w:val="en-US" w:eastAsia="zh-CN"/>
        </w:rPr>
        <w:t>“僵尸”企业、个体</w:t>
      </w:r>
      <w:r>
        <w:rPr>
          <w:rFonts w:hint="default" w:ascii="Times New Roman" w:hAnsi="Times New Roman" w:eastAsia="仿宋_GB2312" w:cs="Times New Roman"/>
          <w:b w:val="0"/>
          <w:bCs/>
          <w:color w:val="auto"/>
          <w:sz w:val="32"/>
          <w:szCs w:val="32"/>
          <w:highlight w:val="none"/>
          <w:lang w:val="en-US" w:eastAsia="zh-CN"/>
        </w:rPr>
        <w:t>工商户清理工作，提高经营主体退出市场的效率。优化线下企业注销综合服务专区（窗），深入推进企业注销登记</w:t>
      </w:r>
      <w:r>
        <w:rPr>
          <w:rFonts w:hint="eastAsia" w:ascii="仿宋_GB2312" w:hAnsi="仿宋_GB2312" w:eastAsia="仿宋_GB2312" w:cs="仿宋_GB2312"/>
          <w:b w:val="0"/>
          <w:bCs/>
          <w:color w:val="auto"/>
          <w:sz w:val="32"/>
          <w:szCs w:val="32"/>
          <w:highlight w:val="none"/>
          <w:lang w:val="en-US" w:eastAsia="zh-CN"/>
        </w:rPr>
        <w:t>“一件事”，</w:t>
      </w:r>
      <w:r>
        <w:rPr>
          <w:rFonts w:hint="default" w:ascii="Times New Roman" w:hAnsi="Times New Roman" w:eastAsia="仿宋_GB2312" w:cs="Times New Roman"/>
          <w:b w:val="0"/>
          <w:bCs/>
          <w:color w:val="auto"/>
          <w:sz w:val="32"/>
          <w:szCs w:val="32"/>
          <w:highlight w:val="none"/>
          <w:lang w:val="en-US" w:eastAsia="zh-CN"/>
        </w:rPr>
        <w:t>实现线上线下融合高效办理。</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市发展和改革委员会</w:t>
      </w:r>
      <w:r>
        <w:rPr>
          <w:rFonts w:hint="default" w:ascii="Times New Roman" w:hAnsi="Times New Roman" w:eastAsia="楷体_GB2312" w:cs="Times New Roman"/>
          <w:b w:val="0"/>
          <w:bCs/>
          <w:color w:val="auto"/>
          <w:sz w:val="32"/>
          <w:szCs w:val="32"/>
          <w:highlight w:val="none"/>
          <w:lang w:val="en-US" w:eastAsia="zh-CN"/>
        </w:rPr>
        <w:t>、市公安局、市司法局、</w:t>
      </w:r>
      <w:r>
        <w:rPr>
          <w:rFonts w:hint="eastAsia" w:ascii="Times New Roman" w:hAnsi="Times New Roman" w:eastAsia="楷体_GB2312" w:cs="Times New Roman"/>
          <w:b w:val="0"/>
          <w:bCs/>
          <w:color w:val="auto"/>
          <w:sz w:val="32"/>
          <w:szCs w:val="32"/>
          <w:highlight w:val="none"/>
          <w:lang w:val="en-US" w:eastAsia="zh-CN"/>
        </w:rPr>
        <w:t>市人力资源和社会保障局</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市国有资产监督管理委员会</w:t>
      </w:r>
      <w:r>
        <w:rPr>
          <w:rFonts w:hint="default" w:ascii="Times New Roman" w:hAnsi="Times New Roman" w:eastAsia="楷体_GB2312" w:cs="Times New Roman"/>
          <w:b w:val="0"/>
          <w:bCs/>
          <w:color w:val="auto"/>
          <w:sz w:val="32"/>
          <w:szCs w:val="32"/>
          <w:highlight w:val="none"/>
          <w:lang w:val="en-US" w:eastAsia="zh-CN"/>
        </w:rPr>
        <w:t>、市</w:t>
      </w:r>
      <w:r>
        <w:rPr>
          <w:rFonts w:hint="eastAsia" w:ascii="Times New Roman" w:hAnsi="Times New Roman" w:eastAsia="楷体_GB2312" w:cs="Times New Roman"/>
          <w:b w:val="0"/>
          <w:bCs/>
          <w:color w:val="auto"/>
          <w:sz w:val="32"/>
          <w:szCs w:val="32"/>
          <w:highlight w:val="none"/>
          <w:lang w:val="en-US" w:eastAsia="zh-CN"/>
        </w:rPr>
        <w:t>市</w:t>
      </w:r>
      <w:r>
        <w:rPr>
          <w:rFonts w:hint="default" w:ascii="Times New Roman" w:hAnsi="Times New Roman" w:eastAsia="楷体_GB2312" w:cs="Times New Roman"/>
          <w:b w:val="0"/>
          <w:bCs/>
          <w:color w:val="auto"/>
          <w:sz w:val="32"/>
          <w:szCs w:val="32"/>
          <w:highlight w:val="none"/>
          <w:lang w:val="en-US" w:eastAsia="zh-CN"/>
        </w:rPr>
        <w:t>场监督管理局、</w:t>
      </w:r>
      <w:r>
        <w:rPr>
          <w:rFonts w:hint="eastAsia" w:ascii="Times New Roman" w:hAnsi="Times New Roman" w:eastAsia="楷体_GB2312" w:cs="Times New Roman"/>
          <w:b w:val="0"/>
          <w:bCs/>
          <w:color w:val="auto"/>
          <w:sz w:val="32"/>
          <w:szCs w:val="32"/>
          <w:highlight w:val="none"/>
          <w:lang w:val="en-US" w:eastAsia="zh-CN"/>
        </w:rPr>
        <w:t>市医疗保障局</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市行政审批政务服务与数据管理局</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国家税务总局鄂尔多斯市税务局</w:t>
      </w:r>
      <w:r>
        <w:rPr>
          <w:rFonts w:hint="default" w:ascii="Times New Roman" w:hAnsi="Times New Roman" w:eastAsia="楷体_GB2312" w:cs="Times New Roman"/>
          <w:b w:val="0"/>
          <w:bCs/>
          <w:color w:val="auto"/>
          <w:sz w:val="32"/>
          <w:szCs w:val="32"/>
          <w:highlight w:val="none"/>
          <w:lang w:val="en-US" w:eastAsia="zh-CN"/>
        </w:rPr>
        <w:t>、鄂尔多斯海关、中国人民银行鄂尔多斯市分行</w:t>
      </w:r>
      <w:r>
        <w:rPr>
          <w:rFonts w:hint="eastAsia" w:ascii="Times New Roman" w:hAnsi="Times New Roman" w:eastAsia="楷体_GB2312" w:cs="Times New Roman"/>
          <w:b w:val="0"/>
          <w:bCs/>
          <w:color w:val="auto"/>
          <w:sz w:val="32"/>
          <w:szCs w:val="32"/>
          <w:highlight w:val="none"/>
          <w:lang w:val="en-US" w:eastAsia="zh-CN"/>
        </w:rPr>
        <w:t>，</w:t>
      </w:r>
      <w:r>
        <w:rPr>
          <w:rFonts w:hint="default" w:ascii="Times New Roman" w:hAnsi="Times New Roman" w:eastAsia="楷体_GB2312" w:cs="Times New Roman"/>
          <w:b w:val="0"/>
          <w:bCs/>
          <w:color w:val="auto"/>
          <w:sz w:val="32"/>
          <w:szCs w:val="32"/>
          <w:highlight w:val="none"/>
          <w:lang w:val="en-US" w:eastAsia="zh-CN"/>
        </w:rPr>
        <w:t>各旗区人民政府）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b w:val="0"/>
          <w:bCs/>
          <w:color w:val="auto"/>
          <w:sz w:val="32"/>
          <w:szCs w:val="32"/>
          <w:highlight w:val="none"/>
          <w:lang w:val="en-US" w:eastAsia="zh-CN"/>
        </w:rPr>
      </w:pPr>
      <w:r>
        <w:rPr>
          <w:rFonts w:hint="eastAsia" w:ascii="Times New Roman" w:hAnsi="Times New Roman" w:eastAsia="黑体" w:cs="Times New Roman"/>
          <w:b w:val="0"/>
          <w:bCs/>
          <w:color w:val="auto"/>
          <w:sz w:val="32"/>
          <w:szCs w:val="32"/>
          <w:highlight w:val="none"/>
          <w:lang w:val="en-US" w:eastAsia="zh-CN"/>
        </w:rPr>
        <w:t>四</w:t>
      </w:r>
      <w:r>
        <w:rPr>
          <w:rFonts w:hint="default" w:ascii="Times New Roman" w:hAnsi="Times New Roman" w:eastAsia="黑体" w:cs="Times New Roman"/>
          <w:b w:val="0"/>
          <w:bCs/>
          <w:color w:val="auto"/>
          <w:sz w:val="32"/>
          <w:szCs w:val="32"/>
          <w:highlight w:val="none"/>
          <w:lang w:val="en-US" w:eastAsia="zh-CN"/>
        </w:rPr>
        <w:t>、打造友好适配的产业生态环境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（一）便利融资信贷服务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提升金融信贷支持力度。强化财政金融政策协同，用好普惠金融示范区、创业担保贷款、乡村振兴贷款等财政贴息奖补，精准支持消费、就业与民间投资，推动政策红利直达快享、提质增效。加大辖区内信用服务机构培育发展力度，提升社会征信服务能力。</w:t>
      </w:r>
      <w:r>
        <w:rPr>
          <w:rFonts w:hint="default" w:ascii="Times New Roman" w:hAnsi="Times New Roman" w:eastAsia="楷体_GB2312" w:cs="Times New Roman"/>
          <w:b w:val="0"/>
          <w:bCs/>
          <w:color w:val="auto"/>
          <w:sz w:val="32"/>
          <w:szCs w:val="32"/>
          <w:highlight w:val="none"/>
          <w:lang w:val="en-US" w:eastAsia="zh-CN"/>
        </w:rPr>
        <w:t>（责任单位：市财政局、</w:t>
      </w:r>
      <w:r>
        <w:rPr>
          <w:rFonts w:hint="eastAsia" w:ascii="Times New Roman" w:hAnsi="Times New Roman" w:eastAsia="楷体_GB2312" w:cs="Times New Roman"/>
          <w:b w:val="0"/>
          <w:bCs/>
          <w:color w:val="auto"/>
          <w:sz w:val="32"/>
          <w:szCs w:val="32"/>
          <w:highlight w:val="none"/>
          <w:lang w:val="en-US" w:eastAsia="zh-CN"/>
        </w:rPr>
        <w:t>市人力资源和社会保障局</w:t>
      </w:r>
      <w:r>
        <w:rPr>
          <w:rFonts w:hint="default" w:ascii="Times New Roman" w:hAnsi="Times New Roman" w:eastAsia="楷体_GB2312" w:cs="Times New Roman"/>
          <w:b w:val="0"/>
          <w:bCs/>
          <w:color w:val="auto"/>
          <w:sz w:val="32"/>
          <w:szCs w:val="32"/>
          <w:highlight w:val="none"/>
          <w:lang w:val="en-US" w:eastAsia="zh-CN"/>
        </w:rPr>
        <w:t>、市农牧局、中国人民银行鄂尔多斯市分行）</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（二）提升人力资源服务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完善人才服务保障体系。聚焦人才友好型城市建设，构建全周期、全要素、全链条人才服务保障体系，打造有温度、有质感、有竞争力的暖城人才服务品牌，全面提升鄂尔多斯人才生态吸引力与城市软实力。</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市教育体育局</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市人力资源和社会保障局</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市住房和城乡建设局</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市卫生健康委员会</w:t>
      </w:r>
      <w:r>
        <w:rPr>
          <w:rFonts w:hint="default" w:ascii="Times New Roman" w:hAnsi="Times New Roman" w:eastAsia="楷体_GB2312" w:cs="Times New Roman"/>
          <w:b w:val="0"/>
          <w:bCs/>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（三）强化园区为企服务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1.提升园区公</w:t>
      </w:r>
      <w:r>
        <w:rPr>
          <w:rFonts w:hint="default" w:ascii="Times New Roman" w:hAnsi="Times New Roman" w:eastAsia="仿宋_GB2312" w:cs="Times New Roman"/>
          <w:b w:val="0"/>
          <w:bCs/>
          <w:color w:val="auto"/>
          <w:sz w:val="32"/>
          <w:szCs w:val="32"/>
          <w:highlight w:val="none"/>
          <w:lang w:val="en-US" w:eastAsia="zh-CN"/>
        </w:rPr>
        <w:t>共配套服务。鼓励园区联合周边区域共建共享交通、水电、网讯等基础设施，优先建设产业发展急需的关键配套设施，加大园区水电气暖等基础设施维护力度，进一步提升园区承载力。</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各经济开发区、园区管理委员会</w:t>
      </w:r>
      <w:r>
        <w:rPr>
          <w:rFonts w:hint="default" w:ascii="Times New Roman" w:hAnsi="Times New Roman" w:eastAsia="楷体_GB2312" w:cs="Times New Roman"/>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2.推动建</w:t>
      </w:r>
      <w:r>
        <w:rPr>
          <w:rFonts w:hint="default" w:ascii="Times New Roman" w:hAnsi="Times New Roman" w:eastAsia="仿宋_GB2312" w:cs="Times New Roman"/>
          <w:b w:val="0"/>
          <w:bCs/>
          <w:color w:val="auto"/>
          <w:sz w:val="32"/>
          <w:szCs w:val="32"/>
          <w:highlight w:val="none"/>
          <w:lang w:val="en-US" w:eastAsia="zh-CN"/>
        </w:rPr>
        <w:t>设标杆示范园区。支持经济开发区（园区）建设线上线下融合的</w:t>
      </w:r>
      <w:r>
        <w:rPr>
          <w:rFonts w:hint="eastAsia" w:ascii="仿宋_GB2312" w:hAnsi="仿宋_GB2312" w:eastAsia="仿宋_GB2312" w:cs="仿宋_GB2312"/>
          <w:b w:val="0"/>
          <w:bCs/>
          <w:color w:val="auto"/>
          <w:sz w:val="32"/>
          <w:szCs w:val="32"/>
          <w:highlight w:val="none"/>
          <w:lang w:val="en-US" w:eastAsia="zh-CN"/>
        </w:rPr>
        <w:t>“一站式”企</w:t>
      </w:r>
      <w:r>
        <w:rPr>
          <w:rFonts w:hint="default" w:ascii="Times New Roman" w:hAnsi="Times New Roman" w:eastAsia="仿宋_GB2312" w:cs="Times New Roman"/>
          <w:b w:val="0"/>
          <w:bCs/>
          <w:color w:val="auto"/>
          <w:sz w:val="32"/>
          <w:szCs w:val="32"/>
          <w:highlight w:val="none"/>
          <w:lang w:val="en-US" w:eastAsia="zh-CN"/>
        </w:rPr>
        <w:t>业服务中心。加强经济开发区（园区）服务专员队伍标准化建设。绘制经济开发区（园区）企业</w:t>
      </w:r>
      <w:r>
        <w:rPr>
          <w:rFonts w:hint="eastAsia" w:ascii="仿宋_GB2312" w:hAnsi="仿宋_GB2312" w:eastAsia="仿宋_GB2312" w:cs="仿宋_GB2312"/>
          <w:b w:val="0"/>
          <w:bCs/>
          <w:color w:val="auto"/>
          <w:sz w:val="32"/>
          <w:szCs w:val="32"/>
          <w:highlight w:val="none"/>
          <w:lang w:val="en-US" w:eastAsia="zh-CN"/>
        </w:rPr>
        <w:t>“服务图谱”，</w:t>
      </w:r>
      <w:r>
        <w:rPr>
          <w:rFonts w:hint="default" w:ascii="Times New Roman" w:hAnsi="Times New Roman" w:eastAsia="仿宋_GB2312" w:cs="Times New Roman"/>
          <w:b w:val="0"/>
          <w:bCs/>
          <w:color w:val="auto"/>
          <w:sz w:val="32"/>
          <w:szCs w:val="32"/>
          <w:highlight w:val="none"/>
          <w:lang w:val="en-US" w:eastAsia="zh-CN"/>
        </w:rPr>
        <w:t>对所有项目一视同仁提供</w:t>
      </w:r>
      <w:r>
        <w:rPr>
          <w:rFonts w:hint="eastAsia" w:ascii="Times New Roman" w:hAnsi="Times New Roman" w:eastAsia="仿宋_GB2312" w:cs="Times New Roman"/>
          <w:b w:val="0"/>
          <w:bCs/>
          <w:color w:val="auto"/>
          <w:sz w:val="32"/>
          <w:szCs w:val="32"/>
          <w:highlight w:val="none"/>
          <w:lang w:val="en-US" w:eastAsia="zh-CN"/>
        </w:rPr>
        <w:t>帮办</w:t>
      </w:r>
      <w:r>
        <w:rPr>
          <w:rFonts w:hint="default" w:ascii="Times New Roman" w:hAnsi="Times New Roman" w:eastAsia="仿宋_GB2312" w:cs="Times New Roman"/>
          <w:b w:val="0"/>
          <w:bCs/>
          <w:color w:val="auto"/>
          <w:sz w:val="32"/>
          <w:szCs w:val="32"/>
          <w:highlight w:val="none"/>
          <w:lang w:val="en-US" w:eastAsia="zh-CN"/>
        </w:rPr>
        <w:t>代办、诉求响应、资源对接等</w:t>
      </w:r>
      <w:r>
        <w:rPr>
          <w:rFonts w:hint="eastAsia" w:ascii="仿宋_GB2312" w:hAnsi="仿宋_GB2312" w:eastAsia="仿宋_GB2312" w:cs="仿宋_GB2312"/>
          <w:b w:val="0"/>
          <w:bCs/>
          <w:color w:val="auto"/>
          <w:sz w:val="32"/>
          <w:szCs w:val="32"/>
          <w:highlight w:val="none"/>
          <w:lang w:val="en-US" w:eastAsia="zh-CN"/>
        </w:rPr>
        <w:t>“管家式”</w:t>
      </w:r>
      <w:r>
        <w:rPr>
          <w:rFonts w:hint="default" w:ascii="Times New Roman" w:hAnsi="Times New Roman" w:eastAsia="仿宋_GB2312" w:cs="Times New Roman"/>
          <w:b w:val="0"/>
          <w:bCs/>
          <w:color w:val="auto"/>
          <w:sz w:val="32"/>
          <w:szCs w:val="32"/>
          <w:highlight w:val="none"/>
          <w:lang w:val="en-US" w:eastAsia="zh-CN"/>
        </w:rPr>
        <w:t>服务。</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各经济开发区、园区管理委员会</w:t>
      </w:r>
      <w:r>
        <w:rPr>
          <w:rFonts w:hint="default" w:ascii="Times New Roman" w:hAnsi="Times New Roman" w:eastAsia="楷体_GB2312" w:cs="Times New Roman"/>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（四）促进产业链协同共生</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1.全</w:t>
      </w:r>
      <w:r>
        <w:rPr>
          <w:rFonts w:hint="default" w:ascii="Times New Roman" w:hAnsi="Times New Roman" w:eastAsia="仿宋_GB2312" w:cs="Times New Roman"/>
          <w:b w:val="0"/>
          <w:bCs/>
          <w:color w:val="auto"/>
          <w:sz w:val="32"/>
          <w:szCs w:val="32"/>
          <w:highlight w:val="none"/>
          <w:lang w:val="en-US" w:eastAsia="zh-CN"/>
        </w:rPr>
        <w:t>力打造一流创新生态。积极引导企业创新发展，实施科技型企业</w:t>
      </w:r>
      <w:r>
        <w:rPr>
          <w:rFonts w:hint="eastAsia" w:ascii="仿宋_GB2312" w:hAnsi="仿宋_GB2312" w:eastAsia="仿宋_GB2312" w:cs="仿宋_GB2312"/>
          <w:b w:val="0"/>
          <w:bCs/>
          <w:color w:val="auto"/>
          <w:sz w:val="32"/>
          <w:szCs w:val="32"/>
          <w:highlight w:val="none"/>
          <w:lang w:val="en-US" w:eastAsia="zh-CN"/>
        </w:rPr>
        <w:t>“三提三促”行动。</w:t>
      </w:r>
      <w:r>
        <w:rPr>
          <w:rFonts w:hint="default" w:ascii="Times New Roman" w:hAnsi="Times New Roman" w:eastAsia="仿宋_GB2312" w:cs="Times New Roman"/>
          <w:b w:val="0"/>
          <w:bCs/>
          <w:color w:val="auto"/>
          <w:sz w:val="32"/>
          <w:szCs w:val="32"/>
          <w:highlight w:val="none"/>
          <w:lang w:val="en-US" w:eastAsia="zh-CN"/>
        </w:rPr>
        <w:t>强化产业共性技术攻关和成果应用，围绕重点产业和领域开展关键核心技术攻关。</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市发展和改革委员会</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市科学技术局</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市工业和信息化局</w:t>
      </w:r>
      <w:r>
        <w:rPr>
          <w:rFonts w:hint="default" w:ascii="Times New Roman" w:hAnsi="Times New Roman" w:eastAsia="楷体_GB2312" w:cs="Times New Roman"/>
          <w:b w:val="0"/>
          <w:bCs/>
          <w:color w:val="auto"/>
          <w:sz w:val="32"/>
          <w:szCs w:val="32"/>
          <w:highlight w:val="none"/>
          <w:lang w:val="en-US" w:eastAsia="zh-CN"/>
        </w:rPr>
        <w:t>、市农牧局、市能源局</w:t>
      </w:r>
      <w:r>
        <w:rPr>
          <w:rFonts w:hint="eastAsia" w:ascii="Times New Roman" w:hAnsi="Times New Roman" w:eastAsia="楷体_GB2312" w:cs="Times New Roman"/>
          <w:b w:val="0"/>
          <w:bCs/>
          <w:color w:val="auto"/>
          <w:sz w:val="32"/>
          <w:szCs w:val="32"/>
          <w:highlight w:val="none"/>
          <w:lang w:val="en-US" w:eastAsia="zh-CN"/>
        </w:rPr>
        <w:t>，各旗区人民政府</w:t>
      </w:r>
      <w:r>
        <w:rPr>
          <w:rFonts w:hint="default" w:ascii="Times New Roman" w:hAnsi="Times New Roman" w:eastAsia="楷体_GB2312" w:cs="Times New Roman"/>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2.加快推</w:t>
      </w:r>
      <w:r>
        <w:rPr>
          <w:rFonts w:hint="default" w:ascii="Times New Roman" w:hAnsi="Times New Roman" w:eastAsia="仿宋_GB2312" w:cs="Times New Roman"/>
          <w:b w:val="0"/>
          <w:bCs/>
          <w:color w:val="auto"/>
          <w:sz w:val="32"/>
          <w:szCs w:val="32"/>
          <w:highlight w:val="none"/>
          <w:lang w:val="en-US" w:eastAsia="zh-CN"/>
        </w:rPr>
        <w:t>动科技成果转化。布局建设概念验证、科技成果转化中试基地和中试公共服务平台。推进全市性科技成果转化公共服务平台建设，重点打造</w:t>
      </w:r>
      <w:r>
        <w:rPr>
          <w:rFonts w:hint="eastAsia" w:ascii="仿宋_GB2312" w:hAnsi="仿宋_GB2312" w:eastAsia="仿宋_GB2312" w:cs="仿宋_GB2312"/>
          <w:b w:val="0"/>
          <w:bCs/>
          <w:color w:val="auto"/>
          <w:sz w:val="32"/>
          <w:szCs w:val="32"/>
          <w:highlight w:val="none"/>
          <w:lang w:val="en-US" w:eastAsia="zh-CN"/>
        </w:rPr>
        <w:t>“蒙科聚”</w:t>
      </w:r>
      <w:r>
        <w:rPr>
          <w:rFonts w:hint="default" w:ascii="Times New Roman" w:hAnsi="Times New Roman" w:eastAsia="仿宋_GB2312" w:cs="Times New Roman"/>
          <w:b w:val="0"/>
          <w:bCs/>
          <w:color w:val="auto"/>
          <w:sz w:val="32"/>
          <w:szCs w:val="32"/>
          <w:highlight w:val="none"/>
          <w:lang w:val="en-US" w:eastAsia="zh-CN"/>
        </w:rPr>
        <w:t>鄂尔多斯分中心，通过平台集聚成果、人才、资金、服务等创新要素。</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市科学技术局</w:t>
      </w:r>
      <w:r>
        <w:rPr>
          <w:rFonts w:hint="default" w:ascii="Times New Roman" w:hAnsi="Times New Roman" w:eastAsia="楷体_GB2312" w:cs="Times New Roman"/>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（五）培育良好数据生态</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1.推</w:t>
      </w:r>
      <w:r>
        <w:rPr>
          <w:rFonts w:hint="default" w:ascii="Times New Roman" w:hAnsi="Times New Roman" w:eastAsia="仿宋_GB2312" w:cs="Times New Roman"/>
          <w:b w:val="0"/>
          <w:bCs/>
          <w:color w:val="auto"/>
          <w:sz w:val="32"/>
          <w:szCs w:val="32"/>
          <w:highlight w:val="none"/>
          <w:lang w:val="en-US" w:eastAsia="zh-CN"/>
        </w:rPr>
        <w:t>动数据要素赋能发展。优化市公共信息资源开放平台功能，重点建设一批跨部门、高价值的专题数据库。制定并发布《公共数据资源开放年度目录》，优先、批量开放交通、能源、环境、信用等产业关联度高的数据。鼓励企业开发数据产品与服务，探索数据要素应用场景。加大对算力产业、大数据产业及人工智能产业的金融支持力度，充分运用信易贷等金融服务平台加速数据融合应用，推动数字政务、数据共享开放、公共数据及行业数据资源价值挖掘利用，赋能数字</w:t>
      </w:r>
      <w:r>
        <w:rPr>
          <w:rFonts w:hint="eastAsia" w:ascii="Times New Roman" w:hAnsi="Times New Roman" w:eastAsia="仿宋_GB2312" w:cs="Times New Roman"/>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金融+场景”。</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市发展和改革委员会、市工业和信息化局、市财政局、市行政审批政务服务与数据管理局等</w:t>
      </w:r>
      <w:r>
        <w:rPr>
          <w:rFonts w:hint="default" w:ascii="Times New Roman" w:hAnsi="Times New Roman" w:eastAsia="楷体_GB2312" w:cs="Times New Roman"/>
          <w:b w:val="0"/>
          <w:bCs/>
          <w:color w:val="auto"/>
          <w:sz w:val="32"/>
          <w:szCs w:val="32"/>
          <w:highlight w:val="none"/>
          <w:lang w:val="en-US" w:eastAsia="zh-CN"/>
        </w:rPr>
        <w:t>各数源部门、</w:t>
      </w:r>
      <w:r>
        <w:rPr>
          <w:rFonts w:hint="eastAsia" w:ascii="Times New Roman" w:hAnsi="Times New Roman" w:eastAsia="楷体_GB2312" w:cs="Times New Roman"/>
          <w:b w:val="0"/>
          <w:bCs/>
          <w:color w:val="auto"/>
          <w:sz w:val="32"/>
          <w:szCs w:val="32"/>
          <w:highlight w:val="none"/>
          <w:lang w:val="en-US" w:eastAsia="zh-CN"/>
        </w:rPr>
        <w:t>中国</w:t>
      </w:r>
      <w:r>
        <w:rPr>
          <w:rFonts w:hint="default" w:ascii="Times New Roman" w:hAnsi="Times New Roman" w:eastAsia="楷体_GB2312" w:cs="Times New Roman"/>
          <w:b w:val="0"/>
          <w:bCs/>
          <w:color w:val="auto"/>
          <w:sz w:val="32"/>
          <w:szCs w:val="32"/>
          <w:highlight w:val="none"/>
          <w:lang w:val="en-US" w:eastAsia="zh-CN"/>
        </w:rPr>
        <w:t>人民银行鄂尔多斯市分行、鄂尔多斯金融</w:t>
      </w:r>
      <w:r>
        <w:rPr>
          <w:rFonts w:hint="eastAsia" w:ascii="Times New Roman" w:hAnsi="Times New Roman" w:eastAsia="楷体_GB2312" w:cs="Times New Roman"/>
          <w:b w:val="0"/>
          <w:bCs/>
          <w:color w:val="auto"/>
          <w:sz w:val="32"/>
          <w:szCs w:val="32"/>
          <w:highlight w:val="none"/>
          <w:lang w:val="en-US" w:eastAsia="zh-CN"/>
        </w:rPr>
        <w:t>监管</w:t>
      </w:r>
      <w:r>
        <w:rPr>
          <w:rFonts w:hint="default" w:ascii="Times New Roman" w:hAnsi="Times New Roman" w:eastAsia="楷体_GB2312" w:cs="Times New Roman"/>
          <w:b w:val="0"/>
          <w:bCs/>
          <w:color w:val="auto"/>
          <w:sz w:val="32"/>
          <w:szCs w:val="32"/>
          <w:highlight w:val="none"/>
          <w:lang w:val="en-US" w:eastAsia="zh-CN"/>
        </w:rPr>
        <w:t>分局</w:t>
      </w:r>
      <w:r>
        <w:rPr>
          <w:rFonts w:hint="eastAsia" w:ascii="Times New Roman" w:hAnsi="Times New Roman" w:eastAsia="楷体_GB2312" w:cs="Times New Roman"/>
          <w:b w:val="0"/>
          <w:bCs/>
          <w:color w:val="auto"/>
          <w:sz w:val="32"/>
          <w:szCs w:val="32"/>
          <w:highlight w:val="none"/>
          <w:lang w:val="en-US" w:eastAsia="zh-CN"/>
        </w:rPr>
        <w:t>，</w:t>
      </w:r>
      <w:r>
        <w:rPr>
          <w:rFonts w:hint="default" w:ascii="Times New Roman" w:hAnsi="Times New Roman" w:eastAsia="楷体_GB2312" w:cs="Times New Roman"/>
          <w:b w:val="0"/>
          <w:bCs/>
          <w:color w:val="auto"/>
          <w:sz w:val="32"/>
          <w:szCs w:val="32"/>
          <w:highlight w:val="none"/>
          <w:lang w:val="en-US" w:eastAsia="zh-CN"/>
        </w:rPr>
        <w:t>各旗区人民政府）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（六）持</w:t>
      </w:r>
      <w:r>
        <w:rPr>
          <w:rFonts w:hint="eastAsia" w:ascii="仿宋_GB2312" w:hAnsi="仿宋_GB2312" w:eastAsia="仿宋_GB2312" w:cs="仿宋_GB2312"/>
          <w:b w:val="0"/>
          <w:bCs/>
          <w:color w:val="auto"/>
          <w:sz w:val="32"/>
          <w:szCs w:val="32"/>
          <w:highlight w:val="none"/>
          <w:lang w:val="en-US" w:eastAsia="zh-CN"/>
        </w:rPr>
        <w:t>续打造“一域一特色”</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深化</w:t>
      </w:r>
      <w:r>
        <w:rPr>
          <w:rFonts w:hint="eastAsia" w:ascii="仿宋_GB2312" w:hAnsi="仿宋_GB2312" w:eastAsia="仿宋_GB2312" w:cs="仿宋_GB2312"/>
          <w:b w:val="0"/>
          <w:bCs/>
          <w:color w:val="auto"/>
          <w:sz w:val="32"/>
          <w:szCs w:val="32"/>
          <w:highlight w:val="none"/>
          <w:lang w:val="en-US" w:eastAsia="zh-CN"/>
        </w:rPr>
        <w:t>“一域一特色”建设</w:t>
      </w:r>
      <w:r>
        <w:rPr>
          <w:rFonts w:hint="default" w:ascii="Times New Roman" w:hAnsi="Times New Roman" w:eastAsia="仿宋_GB2312" w:cs="Times New Roman"/>
          <w:b w:val="0"/>
          <w:bCs/>
          <w:color w:val="auto"/>
          <w:sz w:val="32"/>
          <w:szCs w:val="32"/>
          <w:highlight w:val="none"/>
          <w:lang w:val="en-US" w:eastAsia="zh-CN"/>
        </w:rPr>
        <w:t>。坚持产业导向、问题导向、企业需求导向，针对本旗区、本经济开发区（园区）重点产业发展特性和关键需求，实施精准化、差异化营商环境优化行动，推动</w:t>
      </w:r>
      <w:r>
        <w:rPr>
          <w:rFonts w:hint="eastAsia" w:ascii="Times New Roman" w:hAnsi="Times New Roman" w:eastAsia="仿宋_GB2312" w:cs="Times New Roman"/>
          <w:b w:val="0"/>
          <w:bCs/>
          <w:color w:val="auto"/>
          <w:sz w:val="32"/>
          <w:szCs w:val="32"/>
          <w:highlight w:val="none"/>
          <w:lang w:val="en-US" w:eastAsia="zh-CN"/>
        </w:rPr>
        <w:t>取得</w:t>
      </w:r>
      <w:r>
        <w:rPr>
          <w:rFonts w:hint="eastAsia" w:ascii="仿宋_GB2312" w:hAnsi="仿宋_GB2312" w:eastAsia="仿宋_GB2312" w:cs="仿宋_GB2312"/>
          <w:b w:val="0"/>
          <w:bCs/>
          <w:color w:val="auto"/>
          <w:sz w:val="32"/>
          <w:szCs w:val="32"/>
          <w:highlight w:val="none"/>
          <w:lang w:val="en-US" w:eastAsia="zh-CN"/>
        </w:rPr>
        <w:t>“一域一特色”新成效</w:t>
      </w:r>
      <w:r>
        <w:rPr>
          <w:rFonts w:hint="default"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楷体_GB2312" w:cs="Times New Roman"/>
          <w:b w:val="0"/>
          <w:bCs/>
          <w:color w:val="auto"/>
          <w:sz w:val="32"/>
          <w:szCs w:val="32"/>
          <w:highlight w:val="none"/>
          <w:lang w:val="en-US" w:eastAsia="zh-CN"/>
        </w:rPr>
        <w:t>（责任单位：各旗区人民政府，</w:t>
      </w:r>
      <w:r>
        <w:rPr>
          <w:rFonts w:hint="eastAsia" w:ascii="Times New Roman" w:hAnsi="Times New Roman" w:eastAsia="楷体_GB2312" w:cs="Times New Roman"/>
          <w:b w:val="0"/>
          <w:bCs/>
          <w:color w:val="auto"/>
          <w:sz w:val="32"/>
          <w:szCs w:val="32"/>
          <w:highlight w:val="none"/>
          <w:lang w:val="en-US" w:eastAsia="zh-CN"/>
        </w:rPr>
        <w:t>各经济开发区、园区管理委员会</w:t>
      </w:r>
      <w:r>
        <w:rPr>
          <w:rFonts w:hint="default" w:ascii="Times New Roman" w:hAnsi="Times New Roman" w:eastAsia="楷体_GB2312" w:cs="Times New Roman"/>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b w:val="0"/>
          <w:bCs/>
          <w:color w:val="auto"/>
          <w:sz w:val="32"/>
          <w:szCs w:val="32"/>
          <w:highlight w:val="none"/>
          <w:lang w:val="en-US" w:eastAsia="zh-CN"/>
        </w:rPr>
      </w:pPr>
      <w:r>
        <w:rPr>
          <w:rFonts w:hint="eastAsia" w:ascii="Times New Roman" w:hAnsi="Times New Roman" w:eastAsia="黑体" w:cs="Times New Roman"/>
          <w:b w:val="0"/>
          <w:bCs/>
          <w:color w:val="auto"/>
          <w:sz w:val="32"/>
          <w:szCs w:val="32"/>
          <w:highlight w:val="none"/>
          <w:lang w:val="en-US" w:eastAsia="zh-CN"/>
        </w:rPr>
        <w:t>五</w:t>
      </w:r>
      <w:r>
        <w:rPr>
          <w:rFonts w:hint="default" w:ascii="Times New Roman" w:hAnsi="Times New Roman" w:eastAsia="黑体" w:cs="Times New Roman"/>
          <w:b w:val="0"/>
          <w:bCs/>
          <w:color w:val="auto"/>
          <w:sz w:val="32"/>
          <w:szCs w:val="32"/>
          <w:highlight w:val="none"/>
          <w:lang w:val="en-US" w:eastAsia="zh-CN"/>
        </w:rPr>
        <w:t>、打造公正透明的法治营商环境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一</w:t>
      </w:r>
      <w:r>
        <w:rPr>
          <w:rFonts w:hint="default" w:ascii="Times New Roman" w:hAnsi="Times New Roman" w:eastAsia="楷体_GB2312" w:cs="Times New Roman"/>
          <w:b w:val="0"/>
          <w:bCs/>
          <w:color w:val="auto"/>
          <w:sz w:val="32"/>
          <w:szCs w:val="32"/>
          <w:highlight w:val="none"/>
          <w:lang w:val="en-US" w:eastAsia="zh-CN"/>
        </w:rPr>
        <w:t>）推进严格公正高效司法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1.优</w:t>
      </w:r>
      <w:r>
        <w:rPr>
          <w:rFonts w:hint="default" w:ascii="Times New Roman" w:hAnsi="Times New Roman" w:eastAsia="仿宋_GB2312" w:cs="Times New Roman"/>
          <w:b w:val="0"/>
          <w:bCs/>
          <w:color w:val="auto"/>
          <w:sz w:val="32"/>
          <w:szCs w:val="32"/>
          <w:highlight w:val="none"/>
          <w:lang w:val="en-US" w:eastAsia="zh-CN"/>
        </w:rPr>
        <w:t>化完善商事调解协同机制。构建</w:t>
      </w:r>
      <w:r>
        <w:rPr>
          <w:rFonts w:hint="eastAsia" w:ascii="仿宋_GB2312" w:hAnsi="仿宋_GB2312" w:eastAsia="仿宋_GB2312" w:cs="仿宋_GB2312"/>
          <w:b w:val="0"/>
          <w:bCs/>
          <w:color w:val="auto"/>
          <w:sz w:val="32"/>
          <w:szCs w:val="32"/>
          <w:highlight w:val="none"/>
          <w:lang w:val="en-US" w:eastAsia="zh-CN"/>
        </w:rPr>
        <w:t>“诉调对接”一</w:t>
      </w:r>
      <w:r>
        <w:rPr>
          <w:rFonts w:hint="default" w:ascii="Times New Roman" w:hAnsi="Times New Roman" w:eastAsia="仿宋_GB2312" w:cs="Times New Roman"/>
          <w:b w:val="0"/>
          <w:bCs/>
          <w:color w:val="auto"/>
          <w:sz w:val="32"/>
          <w:szCs w:val="32"/>
          <w:highlight w:val="none"/>
          <w:lang w:val="en-US" w:eastAsia="zh-CN"/>
        </w:rPr>
        <w:t>体化工作体系，对适宜案件开展立案前委派或立案后委托调解，依法推进调解协议司法确认工作。鼓励律师、公证、仲裁、司法鉴定等行业及企业、商会等成立商事调解组织，提升商事纠纷化解效能。</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市工商业联合会</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市中级人民法院</w:t>
      </w:r>
      <w:r>
        <w:rPr>
          <w:rFonts w:hint="default" w:ascii="Times New Roman" w:hAnsi="Times New Roman" w:eastAsia="楷体_GB2312" w:cs="Times New Roman"/>
          <w:b w:val="0"/>
          <w:bCs/>
          <w:color w:val="auto"/>
          <w:sz w:val="32"/>
          <w:szCs w:val="32"/>
          <w:highlight w:val="none"/>
          <w:lang w:val="en-US" w:eastAsia="zh-CN"/>
        </w:rPr>
        <w:t>、市民政局、市司法局）</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2.强化</w:t>
      </w:r>
      <w:r>
        <w:rPr>
          <w:rFonts w:hint="default" w:ascii="Times New Roman" w:hAnsi="Times New Roman" w:eastAsia="仿宋_GB2312" w:cs="Times New Roman"/>
          <w:b w:val="0"/>
          <w:bCs/>
          <w:color w:val="auto"/>
          <w:sz w:val="32"/>
          <w:szCs w:val="32"/>
          <w:highlight w:val="none"/>
          <w:lang w:val="en-US" w:eastAsia="zh-CN"/>
        </w:rPr>
        <w:t>涉企行政执法监督。建立健全涉企行政执法案件经济影响评估机制，涉及</w:t>
      </w:r>
      <w:r>
        <w:rPr>
          <w:rFonts w:hint="eastAsia" w:ascii="Times New Roman" w:hAnsi="Times New Roman" w:eastAsia="仿宋_GB2312" w:cs="Times New Roman"/>
          <w:b w:val="0"/>
          <w:bCs/>
          <w:color w:val="auto"/>
          <w:sz w:val="32"/>
          <w:szCs w:val="32"/>
          <w:highlight w:val="none"/>
          <w:lang w:val="en-US" w:eastAsia="zh-CN"/>
        </w:rPr>
        <w:t>可能对企业生产经营产生较大影响的行政处罚、行政许可、行政强制等行为</w:t>
      </w:r>
      <w:r>
        <w:rPr>
          <w:rFonts w:hint="default" w:ascii="Times New Roman" w:hAnsi="Times New Roman" w:eastAsia="仿宋_GB2312" w:cs="Times New Roman"/>
          <w:b w:val="0"/>
          <w:bCs/>
          <w:color w:val="auto"/>
          <w:sz w:val="32"/>
          <w:szCs w:val="32"/>
          <w:highlight w:val="none"/>
          <w:lang w:val="en-US" w:eastAsia="zh-CN"/>
        </w:rPr>
        <w:t>，行政部门在作出决定前必须</w:t>
      </w:r>
      <w:r>
        <w:rPr>
          <w:rFonts w:hint="eastAsia" w:ascii="Times New Roman" w:hAnsi="Times New Roman" w:eastAsia="仿宋_GB2312" w:cs="Times New Roman"/>
          <w:b w:val="0"/>
          <w:bCs/>
          <w:color w:val="auto"/>
          <w:sz w:val="32"/>
          <w:szCs w:val="32"/>
          <w:highlight w:val="none"/>
          <w:lang w:val="en-US" w:eastAsia="zh-CN"/>
        </w:rPr>
        <w:t>依法依规</w:t>
      </w:r>
      <w:r>
        <w:rPr>
          <w:rFonts w:hint="default" w:ascii="Times New Roman" w:hAnsi="Times New Roman" w:eastAsia="仿宋_GB2312" w:cs="Times New Roman"/>
          <w:b w:val="0"/>
          <w:bCs/>
          <w:color w:val="auto"/>
          <w:sz w:val="32"/>
          <w:szCs w:val="32"/>
          <w:highlight w:val="none"/>
          <w:lang w:val="en-US" w:eastAsia="zh-CN"/>
        </w:rPr>
        <w:t>开展评估工作。</w:t>
      </w:r>
      <w:r>
        <w:rPr>
          <w:rFonts w:hint="default" w:ascii="Times New Roman" w:hAnsi="Times New Roman" w:eastAsia="楷体_GB2312" w:cs="Times New Roman"/>
          <w:b w:val="0"/>
          <w:bCs/>
          <w:color w:val="auto"/>
          <w:sz w:val="32"/>
          <w:szCs w:val="32"/>
          <w:highlight w:val="none"/>
          <w:lang w:val="en-US" w:eastAsia="zh-CN"/>
        </w:rPr>
        <w:t>（责任单位：市司法局</w:t>
      </w:r>
      <w:r>
        <w:rPr>
          <w:rFonts w:hint="eastAsia" w:ascii="Times New Roman" w:hAnsi="Times New Roman" w:eastAsia="楷体_GB2312" w:cs="Times New Roman"/>
          <w:b w:val="0"/>
          <w:bCs/>
          <w:color w:val="auto"/>
          <w:sz w:val="32"/>
          <w:szCs w:val="32"/>
          <w:highlight w:val="none"/>
          <w:lang w:val="en-US" w:eastAsia="zh-CN"/>
        </w:rPr>
        <w:t>、</w:t>
      </w:r>
      <w:r>
        <w:rPr>
          <w:rFonts w:hint="default" w:ascii="Times New Roman" w:hAnsi="Times New Roman" w:eastAsia="楷体_GB2312" w:cs="Times New Roman"/>
          <w:b w:val="0"/>
          <w:bCs/>
          <w:color w:val="auto"/>
          <w:sz w:val="32"/>
          <w:szCs w:val="32"/>
          <w:highlight w:val="none"/>
          <w:lang w:val="en-US" w:eastAsia="zh-CN"/>
        </w:rPr>
        <w:t>各行政执法部门</w:t>
      </w:r>
      <w:r>
        <w:rPr>
          <w:rFonts w:hint="eastAsia" w:ascii="Times New Roman" w:hAnsi="Times New Roman" w:eastAsia="楷体_GB2312" w:cs="Times New Roman"/>
          <w:b w:val="0"/>
          <w:bCs/>
          <w:color w:val="auto"/>
          <w:sz w:val="32"/>
          <w:szCs w:val="32"/>
          <w:highlight w:val="none"/>
          <w:lang w:val="en-US" w:eastAsia="zh-CN"/>
        </w:rPr>
        <w:t>，各旗区人民政府</w:t>
      </w:r>
      <w:r>
        <w:rPr>
          <w:rFonts w:hint="default" w:ascii="Times New Roman" w:hAnsi="Times New Roman" w:eastAsia="楷体_GB2312" w:cs="Times New Roman"/>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二</w:t>
      </w:r>
      <w:r>
        <w:rPr>
          <w:rFonts w:hint="default" w:ascii="Times New Roman" w:hAnsi="Times New Roman" w:eastAsia="楷体_GB2312" w:cs="Times New Roman"/>
          <w:b w:val="0"/>
          <w:bCs/>
          <w:color w:val="auto"/>
          <w:sz w:val="32"/>
          <w:szCs w:val="32"/>
          <w:highlight w:val="none"/>
          <w:lang w:val="en-US" w:eastAsia="zh-CN"/>
        </w:rPr>
        <w:t>）完善公共法律服务体系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楷体_GB2312" w:hAnsi="楷体_GB2312" w:eastAsia="楷体_GB2312" w:cs="楷体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1.深化</w:t>
      </w:r>
      <w:r>
        <w:rPr>
          <w:rFonts w:hint="eastAsia" w:ascii="Times New Roman" w:hAnsi="Times New Roman" w:eastAsia="仿宋_GB2312" w:cs="Times New Roman"/>
          <w:b w:val="0"/>
          <w:bCs/>
          <w:color w:val="auto"/>
          <w:sz w:val="32"/>
          <w:szCs w:val="32"/>
          <w:highlight w:val="none"/>
          <w:lang w:val="en-US" w:eastAsia="zh-CN"/>
        </w:rPr>
        <w:t>法治</w:t>
      </w:r>
      <w:r>
        <w:rPr>
          <w:rFonts w:hint="default" w:ascii="Times New Roman" w:hAnsi="Times New Roman" w:eastAsia="仿宋_GB2312" w:cs="Times New Roman"/>
          <w:b w:val="0"/>
          <w:bCs/>
          <w:color w:val="auto"/>
          <w:sz w:val="32"/>
          <w:szCs w:val="32"/>
          <w:highlight w:val="none"/>
          <w:lang w:val="en-US" w:eastAsia="zh-CN"/>
        </w:rPr>
        <w:t>服务助</w:t>
      </w:r>
      <w:r>
        <w:rPr>
          <w:rFonts w:hint="eastAsia" w:ascii="Times New Roman" w:hAnsi="Times New Roman" w:eastAsia="仿宋_GB2312" w:cs="Times New Roman"/>
          <w:b w:val="0"/>
          <w:bCs/>
          <w:color w:val="auto"/>
          <w:sz w:val="32"/>
          <w:szCs w:val="32"/>
          <w:highlight w:val="none"/>
          <w:lang w:val="en-US" w:eastAsia="zh-CN"/>
        </w:rPr>
        <w:t>企</w:t>
      </w:r>
      <w:r>
        <w:rPr>
          <w:rFonts w:hint="default" w:ascii="Times New Roman" w:hAnsi="Times New Roman" w:eastAsia="仿宋_GB2312" w:cs="Times New Roman"/>
          <w:b w:val="0"/>
          <w:bCs/>
          <w:color w:val="auto"/>
          <w:sz w:val="32"/>
          <w:szCs w:val="32"/>
          <w:highlight w:val="none"/>
          <w:lang w:val="en-US" w:eastAsia="zh-CN"/>
        </w:rPr>
        <w:t>合规。提升公共法律服务中心服务企业</w:t>
      </w:r>
      <w:r>
        <w:rPr>
          <w:rFonts w:hint="eastAsia" w:ascii="Times New Roman" w:hAnsi="Times New Roman" w:eastAsia="仿宋_GB2312" w:cs="Times New Roman"/>
          <w:b w:val="0"/>
          <w:bCs/>
          <w:color w:val="auto"/>
          <w:sz w:val="32"/>
          <w:szCs w:val="32"/>
          <w:highlight w:val="none"/>
          <w:lang w:val="en-US" w:eastAsia="zh-CN"/>
        </w:rPr>
        <w:t>的</w:t>
      </w:r>
      <w:r>
        <w:rPr>
          <w:rFonts w:hint="default" w:ascii="Times New Roman" w:hAnsi="Times New Roman" w:eastAsia="仿宋_GB2312" w:cs="Times New Roman"/>
          <w:b w:val="0"/>
          <w:bCs/>
          <w:color w:val="auto"/>
          <w:sz w:val="32"/>
          <w:szCs w:val="32"/>
          <w:highlight w:val="none"/>
          <w:lang w:val="en-US" w:eastAsia="zh-CN"/>
        </w:rPr>
        <w:t>效能，围绕企业需求，优化职能配置，为企业提供更加高效便捷精准的法律服务。探索在经济开发区（园区）新建部分融治中心，实现经济开发区（园区）企业就地法律服务全覆盖。</w:t>
      </w:r>
      <w:r>
        <w:rPr>
          <w:rFonts w:hint="eastAsia" w:ascii="Times New Roman" w:hAnsi="Times New Roman" w:eastAsia="仿宋_GB2312" w:cs="Times New Roman"/>
          <w:b w:val="0"/>
          <w:bCs/>
          <w:color w:val="auto"/>
          <w:sz w:val="32"/>
          <w:szCs w:val="32"/>
          <w:highlight w:val="none"/>
          <w:lang w:val="en-US" w:eastAsia="zh-CN"/>
        </w:rPr>
        <w:t>进一步</w:t>
      </w:r>
      <w:r>
        <w:rPr>
          <w:rFonts w:hint="default" w:ascii="Times New Roman" w:hAnsi="Times New Roman" w:eastAsia="仿宋_GB2312" w:cs="Times New Roman"/>
          <w:b w:val="0"/>
          <w:bCs/>
          <w:color w:val="auto"/>
          <w:sz w:val="32"/>
          <w:szCs w:val="32"/>
          <w:highlight w:val="none"/>
          <w:lang w:val="en-US" w:eastAsia="zh-CN"/>
        </w:rPr>
        <w:t>加强企业合规指导服务。开展《中华人民共和国法</w:t>
      </w:r>
      <w:r>
        <w:rPr>
          <w:rFonts w:hint="eastAsia" w:ascii="Times New Roman" w:hAnsi="Times New Roman" w:eastAsia="仿宋_GB2312" w:cs="Times New Roman"/>
          <w:b w:val="0"/>
          <w:bCs/>
          <w:color w:val="auto"/>
          <w:sz w:val="32"/>
          <w:szCs w:val="32"/>
          <w:highlight w:val="none"/>
          <w:lang w:val="en-US" w:eastAsia="zh-CN"/>
        </w:rPr>
        <w:t>治</w:t>
      </w:r>
      <w:r>
        <w:rPr>
          <w:rFonts w:hint="default" w:ascii="Times New Roman" w:hAnsi="Times New Roman" w:eastAsia="仿宋_GB2312" w:cs="Times New Roman"/>
          <w:b w:val="0"/>
          <w:bCs/>
          <w:color w:val="auto"/>
          <w:sz w:val="32"/>
          <w:szCs w:val="32"/>
          <w:highlight w:val="none"/>
          <w:lang w:val="en-US" w:eastAsia="zh-CN"/>
        </w:rPr>
        <w:t>宣传教育法》宣传教育，落实</w:t>
      </w:r>
      <w:r>
        <w:rPr>
          <w:rFonts w:hint="eastAsia" w:ascii="Times New Roman" w:hAnsi="Times New Roman" w:eastAsia="仿宋_GB2312" w:cs="Times New Roman"/>
          <w:b w:val="0"/>
          <w:bCs/>
          <w:color w:val="auto"/>
          <w:sz w:val="32"/>
          <w:szCs w:val="32"/>
          <w:highlight w:val="none"/>
          <w:lang w:val="en-US" w:eastAsia="zh-CN"/>
        </w:rPr>
        <w:t>“谁执法谁普法”</w:t>
      </w:r>
      <w:r>
        <w:rPr>
          <w:rFonts w:hint="default" w:ascii="Times New Roman" w:hAnsi="Times New Roman" w:eastAsia="仿宋_GB2312" w:cs="Times New Roman"/>
          <w:b w:val="0"/>
          <w:bCs/>
          <w:color w:val="auto"/>
          <w:sz w:val="32"/>
          <w:szCs w:val="32"/>
          <w:highlight w:val="none"/>
          <w:lang w:val="en-US" w:eastAsia="zh-CN"/>
        </w:rPr>
        <w:t>责任制，推动市、旗区、经济开发区（园区）制定完善企业合规地方标准。</w:t>
      </w:r>
      <w:r>
        <w:rPr>
          <w:rFonts w:hint="default" w:ascii="楷体_GB2312" w:hAnsi="楷体_GB2312" w:eastAsia="楷体_GB2312" w:cs="楷体_GB2312"/>
          <w:b w:val="0"/>
          <w:bCs/>
          <w:color w:val="auto"/>
          <w:sz w:val="32"/>
          <w:szCs w:val="32"/>
          <w:highlight w:val="none"/>
          <w:lang w:val="en-US" w:eastAsia="zh-CN"/>
        </w:rPr>
        <w:t>（责任单位：市委政法委、</w:t>
      </w:r>
      <w:r>
        <w:rPr>
          <w:rFonts w:hint="eastAsia" w:ascii="楷体_GB2312" w:hAnsi="楷体_GB2312" w:eastAsia="楷体_GB2312" w:cs="楷体_GB2312"/>
          <w:b w:val="0"/>
          <w:bCs/>
          <w:color w:val="auto"/>
          <w:sz w:val="32"/>
          <w:szCs w:val="32"/>
          <w:highlight w:val="none"/>
          <w:lang w:val="en-US" w:eastAsia="zh-CN"/>
        </w:rPr>
        <w:t>市中级人民法院</w:t>
      </w:r>
      <w:r>
        <w:rPr>
          <w:rFonts w:hint="default" w:ascii="楷体_GB2312" w:hAnsi="楷体_GB2312" w:eastAsia="楷体_GB2312" w:cs="楷体_GB2312"/>
          <w:b w:val="0"/>
          <w:bCs/>
          <w:color w:val="auto"/>
          <w:sz w:val="32"/>
          <w:szCs w:val="32"/>
          <w:highlight w:val="none"/>
          <w:lang w:val="en-US" w:eastAsia="zh-CN"/>
        </w:rPr>
        <w:t>、</w:t>
      </w:r>
      <w:r>
        <w:rPr>
          <w:rFonts w:hint="eastAsia" w:ascii="楷体_GB2312" w:hAnsi="楷体_GB2312" w:eastAsia="楷体_GB2312" w:cs="楷体_GB2312"/>
          <w:b w:val="0"/>
          <w:bCs/>
          <w:color w:val="auto"/>
          <w:sz w:val="32"/>
          <w:szCs w:val="32"/>
          <w:highlight w:val="none"/>
          <w:lang w:val="en-US" w:eastAsia="zh-CN"/>
        </w:rPr>
        <w:t>市人民检察院</w:t>
      </w:r>
      <w:r>
        <w:rPr>
          <w:rFonts w:hint="default" w:ascii="楷体_GB2312" w:hAnsi="楷体_GB2312" w:eastAsia="楷体_GB2312" w:cs="楷体_GB2312"/>
          <w:b w:val="0"/>
          <w:bCs/>
          <w:color w:val="auto"/>
          <w:sz w:val="32"/>
          <w:szCs w:val="32"/>
          <w:highlight w:val="none"/>
          <w:lang w:val="en-US" w:eastAsia="zh-CN"/>
        </w:rPr>
        <w:t>、市公安局、市司法局</w:t>
      </w:r>
      <w:r>
        <w:rPr>
          <w:rFonts w:hint="eastAsia" w:ascii="楷体_GB2312" w:hAnsi="楷体_GB2312" w:eastAsia="楷体_GB2312" w:cs="楷体_GB2312"/>
          <w:b w:val="0"/>
          <w:bCs/>
          <w:color w:val="auto"/>
          <w:sz w:val="32"/>
          <w:szCs w:val="32"/>
          <w:highlight w:val="none"/>
          <w:lang w:val="en-US" w:eastAsia="zh-CN"/>
        </w:rPr>
        <w:t>、市直各行政执法部门，各旗区人民政府，各经济开发区、园区管理委员会</w:t>
      </w:r>
      <w:r>
        <w:rPr>
          <w:rFonts w:hint="default" w:ascii="楷体_GB2312" w:hAnsi="楷体_GB2312" w:eastAsia="楷体_GB2312" w:cs="楷体_GB2312"/>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2.建立为企服务长效机制。在12309检察服</w:t>
      </w:r>
      <w:r>
        <w:rPr>
          <w:rFonts w:hint="default" w:ascii="Times New Roman" w:hAnsi="Times New Roman" w:eastAsia="仿宋_GB2312" w:cs="Times New Roman"/>
          <w:b w:val="0"/>
          <w:bCs/>
          <w:color w:val="auto"/>
          <w:sz w:val="32"/>
          <w:szCs w:val="32"/>
          <w:highlight w:val="none"/>
          <w:lang w:val="en-US" w:eastAsia="zh-CN"/>
        </w:rPr>
        <w:t>务中心持续设立</w:t>
      </w:r>
      <w:r>
        <w:rPr>
          <w:rFonts w:hint="eastAsia" w:ascii="仿宋_GB2312" w:hAnsi="仿宋_GB2312" w:eastAsia="仿宋_GB2312" w:cs="仿宋_GB2312"/>
          <w:b w:val="0"/>
          <w:bCs/>
          <w:color w:val="auto"/>
          <w:sz w:val="32"/>
          <w:szCs w:val="32"/>
          <w:highlight w:val="none"/>
          <w:lang w:val="en-US" w:eastAsia="zh-CN"/>
        </w:rPr>
        <w:t>“涉民营企业案件受理绿色通道”，</w:t>
      </w:r>
      <w:r>
        <w:rPr>
          <w:rFonts w:hint="default" w:ascii="Times New Roman" w:hAnsi="Times New Roman" w:eastAsia="仿宋_GB2312" w:cs="Times New Roman"/>
          <w:b w:val="0"/>
          <w:bCs/>
          <w:color w:val="auto"/>
          <w:sz w:val="32"/>
          <w:szCs w:val="32"/>
          <w:highlight w:val="none"/>
          <w:lang w:val="en-US" w:eastAsia="zh-CN"/>
        </w:rPr>
        <w:t>对涉及影响和阻碍民营企业发展的犯罪举报、控告、申诉案件，设立专门台账，及时全面掌握情况，加强对企业合法权益的司法救济。</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市人民检察院、市中级人民法院</w:t>
      </w:r>
      <w:r>
        <w:rPr>
          <w:rFonts w:hint="default" w:ascii="Times New Roman" w:hAnsi="Times New Roman" w:eastAsia="楷体_GB2312" w:cs="Times New Roman"/>
          <w:b w:val="0"/>
          <w:bCs/>
          <w:color w:val="auto"/>
          <w:sz w:val="32"/>
          <w:szCs w:val="32"/>
          <w:highlight w:val="none"/>
          <w:lang w:val="en-US" w:eastAsia="zh-CN"/>
        </w:rPr>
        <w:t>、市公安局</w:t>
      </w:r>
      <w:r>
        <w:rPr>
          <w:rFonts w:hint="eastAsia" w:ascii="Times New Roman" w:hAnsi="Times New Roman" w:eastAsia="楷体_GB2312" w:cs="Times New Roman"/>
          <w:b w:val="0"/>
          <w:bCs/>
          <w:color w:val="auto"/>
          <w:sz w:val="32"/>
          <w:szCs w:val="32"/>
          <w:highlight w:val="none"/>
          <w:lang w:val="en-US" w:eastAsia="zh-CN"/>
        </w:rPr>
        <w:t>、</w:t>
      </w:r>
      <w:r>
        <w:rPr>
          <w:rFonts w:hint="default" w:ascii="Times New Roman" w:hAnsi="Times New Roman" w:eastAsia="楷体_GB2312" w:cs="Times New Roman"/>
          <w:b w:val="0"/>
          <w:bCs/>
          <w:color w:val="auto"/>
          <w:sz w:val="32"/>
          <w:szCs w:val="32"/>
          <w:highlight w:val="none"/>
          <w:lang w:val="en-US" w:eastAsia="zh-CN"/>
        </w:rPr>
        <w:t>各行政执法部门）</w:t>
      </w:r>
    </w:p>
    <w:p>
      <w:pPr>
        <w:keepNext w:val="0"/>
        <w:keepLines w:val="0"/>
        <w:pageBreakBefore w:val="0"/>
        <w:widowControl w:val="0"/>
        <w:tabs>
          <w:tab w:val="left" w:pos="2808"/>
        </w:tabs>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3.升级</w:t>
      </w:r>
      <w:r>
        <w:rPr>
          <w:rFonts w:hint="default" w:ascii="Times New Roman" w:hAnsi="Times New Roman" w:eastAsia="仿宋_GB2312" w:cs="Times New Roman"/>
          <w:b w:val="0"/>
          <w:bCs/>
          <w:color w:val="auto"/>
          <w:sz w:val="32"/>
          <w:szCs w:val="32"/>
          <w:highlight w:val="none"/>
          <w:lang w:val="en-US" w:eastAsia="zh-CN"/>
        </w:rPr>
        <w:t>线上公证服务体系。推广试运行运用新的公证业务平台，完善线上咨询、预约、申请、审核、缴费、出证全链条服务功能，优化线上办理流程。推动委托、声明等高频公证事项实现</w:t>
      </w:r>
      <w:r>
        <w:rPr>
          <w:rFonts w:hint="eastAsia" w:ascii="仿宋_GB2312" w:hAnsi="仿宋_GB2312" w:eastAsia="仿宋_GB2312" w:cs="仿宋_GB2312"/>
          <w:b w:val="0"/>
          <w:bCs/>
          <w:color w:val="auto"/>
          <w:sz w:val="32"/>
          <w:szCs w:val="32"/>
          <w:highlight w:val="none"/>
          <w:lang w:val="en-US" w:eastAsia="zh-CN"/>
        </w:rPr>
        <w:t>“零跑腿”办理</w:t>
      </w:r>
      <w:r>
        <w:rPr>
          <w:rFonts w:hint="default"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楷体_GB2312" w:cs="Times New Roman"/>
          <w:b w:val="0"/>
          <w:bCs/>
          <w:color w:val="auto"/>
          <w:sz w:val="32"/>
          <w:szCs w:val="32"/>
          <w:highlight w:val="none"/>
          <w:lang w:val="en-US" w:eastAsia="zh-CN"/>
        </w:rPr>
        <w:t>（责任单位：市司法局、</w:t>
      </w:r>
      <w:r>
        <w:rPr>
          <w:rFonts w:hint="eastAsia" w:ascii="Times New Roman" w:hAnsi="Times New Roman" w:eastAsia="楷体_GB2312" w:cs="Times New Roman"/>
          <w:b w:val="0"/>
          <w:bCs/>
          <w:color w:val="auto"/>
          <w:sz w:val="32"/>
          <w:szCs w:val="32"/>
          <w:highlight w:val="none"/>
          <w:lang w:val="en-US" w:eastAsia="zh-CN"/>
        </w:rPr>
        <w:t>市行政审批政务服务与数据管理局</w:t>
      </w:r>
      <w:r>
        <w:rPr>
          <w:rFonts w:hint="default" w:ascii="Times New Roman" w:hAnsi="Times New Roman" w:eastAsia="楷体_GB2312" w:cs="Times New Roman"/>
          <w:b w:val="0"/>
          <w:bCs/>
          <w:color w:val="auto"/>
          <w:sz w:val="32"/>
          <w:szCs w:val="32"/>
          <w:highlight w:val="none"/>
          <w:lang w:val="en-US" w:eastAsia="zh-CN"/>
        </w:rPr>
        <w:t>）</w:t>
      </w:r>
    </w:p>
    <w:p>
      <w:pPr>
        <w:keepNext w:val="0"/>
        <w:keepLines w:val="0"/>
        <w:pageBreakBefore w:val="0"/>
        <w:widowControl w:val="0"/>
        <w:tabs>
          <w:tab w:val="left" w:pos="2808"/>
        </w:tabs>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（三）深入推进诚信政府建设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 w:val="0"/>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提升诚信政府建设水平。</w:t>
      </w:r>
      <w:r>
        <w:rPr>
          <w:rFonts w:hint="default" w:ascii="Times New Roman" w:hAnsi="Times New Roman" w:eastAsia="仿宋_GB2312" w:cs="Times New Roman"/>
          <w:b w:val="0"/>
          <w:bCs/>
          <w:color w:val="auto"/>
          <w:sz w:val="32"/>
          <w:szCs w:val="32"/>
          <w:highlight w:val="none"/>
          <w:lang w:val="en-US" w:eastAsia="zh-CN"/>
        </w:rPr>
        <w:t>提升诚信政府建设水平</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健全政府诚信履约机制，开展政府失信行为排查治理。</w:t>
      </w:r>
      <w:r>
        <w:rPr>
          <w:rFonts w:hint="eastAsia" w:ascii="Times New Roman" w:hAnsi="Times New Roman" w:eastAsia="仿宋_GB2312" w:cs="Times New Roman"/>
          <w:b w:val="0"/>
          <w:bCs/>
          <w:color w:val="auto"/>
          <w:sz w:val="32"/>
          <w:szCs w:val="32"/>
          <w:highlight w:val="none"/>
          <w:lang w:val="en-US" w:eastAsia="zh-CN"/>
        </w:rPr>
        <w:t>落实</w:t>
      </w:r>
      <w:r>
        <w:rPr>
          <w:rFonts w:hint="default" w:ascii="Times New Roman" w:hAnsi="Times New Roman" w:eastAsia="仿宋_GB2312" w:cs="Times New Roman"/>
          <w:b w:val="0"/>
          <w:bCs/>
          <w:color w:val="auto"/>
          <w:sz w:val="32"/>
          <w:szCs w:val="32"/>
          <w:highlight w:val="none"/>
          <w:lang w:val="en-US" w:eastAsia="zh-CN"/>
        </w:rPr>
        <w:t>政府失信行为认定标准和失信惩戒措施</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健全全域信用信息归集共享协同机制</w:t>
      </w:r>
      <w:r>
        <w:rPr>
          <w:rFonts w:hint="eastAsia" w:ascii="Times New Roman" w:hAnsi="Times New Roman" w:eastAsia="仿宋_GB2312" w:cs="Times New Roman"/>
          <w:b w:val="0"/>
          <w:bCs/>
          <w:color w:val="auto"/>
          <w:sz w:val="32"/>
          <w:szCs w:val="32"/>
          <w:highlight w:val="none"/>
          <w:lang w:val="en-US" w:eastAsia="zh-CN"/>
        </w:rPr>
        <w:t>，纵深推进信用信息归集、治理全流程闭环管控，着力构建覆盖全面、标准统一、质量过硬的信用数据资源池，筑牢信用数据资源根基。</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楷体_GB2312" w:hAnsi="楷体_GB2312" w:eastAsia="楷体_GB2312" w:cs="楷体_GB2312"/>
          <w:b w:val="0"/>
          <w:bCs/>
          <w:color w:val="auto"/>
          <w:sz w:val="32"/>
          <w:szCs w:val="32"/>
          <w:highlight w:val="none"/>
          <w:lang w:val="en-US" w:eastAsia="zh-CN"/>
        </w:rPr>
        <w:t>各旗区人民政府，</w:t>
      </w:r>
      <w:r>
        <w:rPr>
          <w:rFonts w:hint="eastAsia" w:ascii="Times New Roman" w:hAnsi="Times New Roman" w:eastAsia="楷体_GB2312" w:cs="Times New Roman"/>
          <w:b w:val="0"/>
          <w:bCs/>
          <w:color w:val="auto"/>
          <w:sz w:val="32"/>
          <w:szCs w:val="32"/>
          <w:highlight w:val="none"/>
          <w:lang w:val="en-US" w:eastAsia="zh-CN"/>
        </w:rPr>
        <w:t>市残疾人联合会</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市中级人民法院</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市教育体育局</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市科学技术局</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市工业和信息化局</w:t>
      </w:r>
      <w:r>
        <w:rPr>
          <w:rFonts w:hint="default" w:ascii="Times New Roman" w:hAnsi="Times New Roman" w:eastAsia="楷体_GB2312" w:cs="Times New Roman"/>
          <w:b w:val="0"/>
          <w:bCs/>
          <w:color w:val="auto"/>
          <w:sz w:val="32"/>
          <w:szCs w:val="32"/>
          <w:highlight w:val="none"/>
          <w:lang w:val="en-US" w:eastAsia="zh-CN"/>
        </w:rPr>
        <w:t>、市公安局、市民政局、市司法局、市财政局、</w:t>
      </w:r>
      <w:r>
        <w:rPr>
          <w:rFonts w:hint="eastAsia" w:ascii="Times New Roman" w:hAnsi="Times New Roman" w:eastAsia="楷体_GB2312" w:cs="Times New Roman"/>
          <w:b w:val="0"/>
          <w:bCs/>
          <w:color w:val="auto"/>
          <w:sz w:val="32"/>
          <w:szCs w:val="32"/>
          <w:highlight w:val="none"/>
          <w:lang w:val="en-US" w:eastAsia="zh-CN"/>
        </w:rPr>
        <w:t>市人力资源和社会保障局</w:t>
      </w:r>
      <w:r>
        <w:rPr>
          <w:rFonts w:hint="default" w:ascii="Times New Roman" w:hAnsi="Times New Roman" w:eastAsia="楷体_GB2312" w:cs="Times New Roman"/>
          <w:b w:val="0"/>
          <w:bCs/>
          <w:color w:val="auto"/>
          <w:sz w:val="32"/>
          <w:szCs w:val="32"/>
          <w:highlight w:val="none"/>
          <w:lang w:val="en-US" w:eastAsia="zh-CN"/>
        </w:rPr>
        <w:t>、市自然资源局、市生态环境局、</w:t>
      </w:r>
      <w:r>
        <w:rPr>
          <w:rFonts w:hint="eastAsia" w:ascii="Times New Roman" w:hAnsi="Times New Roman" w:eastAsia="楷体_GB2312" w:cs="Times New Roman"/>
          <w:b w:val="0"/>
          <w:bCs/>
          <w:color w:val="auto"/>
          <w:sz w:val="32"/>
          <w:szCs w:val="32"/>
          <w:highlight w:val="none"/>
          <w:lang w:val="en-US" w:eastAsia="zh-CN"/>
        </w:rPr>
        <w:t>市住房和城乡建设局</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市交通运输局</w:t>
      </w:r>
      <w:r>
        <w:rPr>
          <w:rFonts w:hint="default" w:ascii="Times New Roman" w:hAnsi="Times New Roman" w:eastAsia="楷体_GB2312" w:cs="Times New Roman"/>
          <w:b w:val="0"/>
          <w:bCs/>
          <w:color w:val="auto"/>
          <w:sz w:val="32"/>
          <w:szCs w:val="32"/>
          <w:highlight w:val="none"/>
          <w:lang w:val="en-US" w:eastAsia="zh-CN"/>
        </w:rPr>
        <w:t>、市水利局、市农牧局、市商务局、</w:t>
      </w:r>
      <w:r>
        <w:rPr>
          <w:rFonts w:hint="eastAsia" w:ascii="Times New Roman" w:hAnsi="Times New Roman" w:eastAsia="楷体_GB2312" w:cs="Times New Roman"/>
          <w:b w:val="0"/>
          <w:bCs/>
          <w:color w:val="auto"/>
          <w:sz w:val="32"/>
          <w:szCs w:val="32"/>
          <w:highlight w:val="none"/>
          <w:lang w:val="en-US" w:eastAsia="zh-CN"/>
        </w:rPr>
        <w:t>市文化和旅游局</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市卫生健康委员会</w:t>
      </w:r>
      <w:r>
        <w:rPr>
          <w:rFonts w:hint="default" w:ascii="Times New Roman" w:hAnsi="Times New Roman" w:eastAsia="楷体_GB2312" w:cs="Times New Roman"/>
          <w:b w:val="0"/>
          <w:bCs/>
          <w:color w:val="auto"/>
          <w:sz w:val="32"/>
          <w:szCs w:val="32"/>
          <w:highlight w:val="none"/>
          <w:lang w:val="en-US" w:eastAsia="zh-CN"/>
        </w:rPr>
        <w:t>、市应急管理局、市审计局、</w:t>
      </w:r>
      <w:r>
        <w:rPr>
          <w:rFonts w:hint="eastAsia" w:ascii="Times New Roman" w:hAnsi="Times New Roman" w:eastAsia="楷体_GB2312" w:cs="Times New Roman"/>
          <w:b w:val="0"/>
          <w:bCs/>
          <w:color w:val="auto"/>
          <w:sz w:val="32"/>
          <w:szCs w:val="32"/>
          <w:highlight w:val="none"/>
          <w:lang w:val="en-US" w:eastAsia="zh-CN"/>
        </w:rPr>
        <w:t>市市场监督管理局</w:t>
      </w:r>
      <w:r>
        <w:rPr>
          <w:rFonts w:hint="default" w:ascii="Times New Roman" w:hAnsi="Times New Roman" w:eastAsia="楷体_GB2312" w:cs="Times New Roman"/>
          <w:b w:val="0"/>
          <w:bCs/>
          <w:color w:val="auto"/>
          <w:sz w:val="32"/>
          <w:szCs w:val="32"/>
          <w:highlight w:val="none"/>
          <w:lang w:val="en-US" w:eastAsia="zh-CN"/>
        </w:rPr>
        <w:t>、市统计局、市能源局、</w:t>
      </w:r>
      <w:r>
        <w:rPr>
          <w:rFonts w:hint="eastAsia" w:ascii="Times New Roman" w:hAnsi="Times New Roman" w:eastAsia="楷体_GB2312" w:cs="Times New Roman"/>
          <w:b w:val="0"/>
          <w:bCs/>
          <w:color w:val="auto"/>
          <w:sz w:val="32"/>
          <w:szCs w:val="32"/>
          <w:highlight w:val="none"/>
          <w:lang w:val="en-US" w:eastAsia="zh-CN"/>
        </w:rPr>
        <w:t>市林业和草原局</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市医疗保障局</w:t>
      </w:r>
      <w:r>
        <w:rPr>
          <w:rFonts w:hint="default" w:ascii="Times New Roman" w:hAnsi="Times New Roman" w:eastAsia="楷体_GB2312" w:cs="Times New Roman"/>
          <w:b w:val="0"/>
          <w:bCs/>
          <w:color w:val="auto"/>
          <w:sz w:val="32"/>
          <w:szCs w:val="32"/>
          <w:highlight w:val="none"/>
          <w:lang w:val="en-US" w:eastAsia="zh-CN"/>
        </w:rPr>
        <w:t>、市公共资源交易中心、市消防救援支队、</w:t>
      </w:r>
      <w:r>
        <w:rPr>
          <w:rFonts w:hint="eastAsia" w:ascii="Times New Roman" w:hAnsi="Times New Roman" w:eastAsia="楷体_GB2312" w:cs="Times New Roman"/>
          <w:b w:val="0"/>
          <w:bCs/>
          <w:color w:val="auto"/>
          <w:sz w:val="32"/>
          <w:szCs w:val="32"/>
          <w:highlight w:val="none"/>
          <w:lang w:val="en-US" w:eastAsia="zh-CN"/>
        </w:rPr>
        <w:t>国家税务总局鄂尔多斯市税务局</w:t>
      </w:r>
      <w:r>
        <w:rPr>
          <w:rFonts w:hint="default" w:ascii="Times New Roman" w:hAnsi="Times New Roman" w:eastAsia="楷体_GB2312" w:cs="Times New Roman"/>
          <w:b w:val="0"/>
          <w:bCs/>
          <w:color w:val="auto"/>
          <w:sz w:val="32"/>
          <w:szCs w:val="32"/>
          <w:highlight w:val="none"/>
          <w:lang w:val="en-US" w:eastAsia="zh-CN"/>
        </w:rPr>
        <w:t>等有关部门）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b w:val="0"/>
          <w:bCs/>
          <w:color w:val="auto"/>
          <w:sz w:val="32"/>
          <w:szCs w:val="32"/>
          <w:highlight w:val="none"/>
          <w:lang w:val="en-US" w:eastAsia="zh-CN"/>
        </w:rPr>
      </w:pPr>
      <w:r>
        <w:rPr>
          <w:rFonts w:hint="eastAsia" w:ascii="Times New Roman" w:hAnsi="Times New Roman" w:eastAsia="黑体" w:cs="Times New Roman"/>
          <w:b w:val="0"/>
          <w:bCs/>
          <w:color w:val="auto"/>
          <w:sz w:val="32"/>
          <w:szCs w:val="32"/>
          <w:highlight w:val="none"/>
          <w:lang w:val="en-US" w:eastAsia="zh-CN"/>
        </w:rPr>
        <w:t>六</w:t>
      </w:r>
      <w:r>
        <w:rPr>
          <w:rFonts w:hint="default" w:ascii="Times New Roman" w:hAnsi="Times New Roman" w:eastAsia="黑体" w:cs="Times New Roman"/>
          <w:b w:val="0"/>
          <w:bCs/>
          <w:color w:val="auto"/>
          <w:sz w:val="32"/>
          <w:szCs w:val="32"/>
          <w:highlight w:val="none"/>
          <w:lang w:val="en-US" w:eastAsia="zh-CN"/>
        </w:rPr>
        <w:t>、打造亲商安商的社会人文环境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（一）加强政企沟通交流</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构建亲清政商关系。持续拓宽常态化政企沟通渠道，丰富政企沟通活动形式，依托民营企业座谈会等平台载体，充分发挥行业协会商会的桥梁纽带作用。健全营商环境体验官工作机制，设立营商环境监测联络点。对企业和群众诉求形成全流程闭环管理，</w:t>
      </w:r>
      <w:r>
        <w:rPr>
          <w:rFonts w:hint="eastAsia" w:ascii="仿宋_GB2312" w:hAnsi="仿宋_GB2312" w:eastAsia="仿宋_GB2312" w:cs="仿宋_GB2312"/>
          <w:b w:val="0"/>
          <w:bCs/>
          <w:color w:val="auto"/>
          <w:sz w:val="32"/>
          <w:szCs w:val="32"/>
          <w:highlight w:val="none"/>
          <w:lang w:val="en-US" w:eastAsia="zh-CN"/>
        </w:rPr>
        <w:t>确保经营主体问题建议“件件有落实、事事有回音”，</w:t>
      </w:r>
      <w:r>
        <w:rPr>
          <w:rFonts w:hint="default" w:ascii="Times New Roman" w:hAnsi="Times New Roman" w:eastAsia="仿宋_GB2312" w:cs="Times New Roman"/>
          <w:b w:val="0"/>
          <w:bCs/>
          <w:color w:val="auto"/>
          <w:sz w:val="32"/>
          <w:szCs w:val="32"/>
          <w:highlight w:val="none"/>
          <w:lang w:val="en-US" w:eastAsia="zh-CN"/>
        </w:rPr>
        <w:t>推动从解决</w:t>
      </w:r>
      <w:r>
        <w:rPr>
          <w:rFonts w:hint="eastAsia" w:ascii="仿宋_GB2312" w:hAnsi="仿宋_GB2312" w:eastAsia="仿宋_GB2312" w:cs="仿宋_GB2312"/>
          <w:b w:val="0"/>
          <w:bCs/>
          <w:color w:val="auto"/>
          <w:sz w:val="32"/>
          <w:szCs w:val="32"/>
          <w:highlight w:val="none"/>
          <w:lang w:val="en-US" w:eastAsia="zh-CN"/>
        </w:rPr>
        <w:t>“一件事”到办好“一类事”转</w:t>
      </w:r>
      <w:r>
        <w:rPr>
          <w:rFonts w:hint="default" w:ascii="Times New Roman" w:hAnsi="Times New Roman" w:eastAsia="仿宋_GB2312" w:cs="Times New Roman"/>
          <w:b w:val="0"/>
          <w:bCs/>
          <w:color w:val="auto"/>
          <w:sz w:val="32"/>
          <w:szCs w:val="32"/>
          <w:highlight w:val="none"/>
          <w:lang w:val="en-US" w:eastAsia="zh-CN"/>
        </w:rPr>
        <w:t>变。</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市工商业联合会、市发展和改革委员会</w:t>
      </w:r>
      <w:r>
        <w:rPr>
          <w:rFonts w:hint="default" w:ascii="Times New Roman" w:hAnsi="Times New Roman" w:eastAsia="楷体_GB2312" w:cs="Times New Roman"/>
          <w:b w:val="0"/>
          <w:bCs/>
          <w:color w:val="auto"/>
          <w:sz w:val="32"/>
          <w:szCs w:val="32"/>
          <w:highlight w:val="none"/>
          <w:lang w:val="en-US" w:eastAsia="zh-CN"/>
        </w:rPr>
        <w:t>、市民政局</w:t>
      </w:r>
      <w:r>
        <w:rPr>
          <w:rFonts w:hint="eastAsia" w:ascii="Times New Roman" w:hAnsi="Times New Roman" w:eastAsia="楷体_GB2312" w:cs="Times New Roman"/>
          <w:b w:val="0"/>
          <w:bCs/>
          <w:color w:val="auto"/>
          <w:sz w:val="32"/>
          <w:szCs w:val="32"/>
          <w:highlight w:val="none"/>
          <w:lang w:val="en-US" w:eastAsia="zh-CN"/>
        </w:rPr>
        <w:t>、市经济合作服务中心</w:t>
      </w:r>
      <w:r>
        <w:rPr>
          <w:rFonts w:hint="default" w:ascii="Times New Roman" w:hAnsi="Times New Roman" w:eastAsia="楷体_GB2312" w:cs="Times New Roman"/>
          <w:b w:val="0"/>
          <w:bCs/>
          <w:color w:val="auto"/>
          <w:sz w:val="32"/>
          <w:szCs w:val="32"/>
          <w:highlight w:val="none"/>
          <w:lang w:val="en-US" w:eastAsia="zh-CN"/>
        </w:rPr>
        <w:t>等有关部门，各旗区人民政府</w:t>
      </w:r>
      <w:r>
        <w:rPr>
          <w:rFonts w:hint="eastAsia" w:ascii="Times New Roman" w:hAnsi="Times New Roman" w:eastAsia="楷体_GB2312" w:cs="Times New Roman"/>
          <w:b w:val="0"/>
          <w:bCs/>
          <w:color w:val="auto"/>
          <w:sz w:val="32"/>
          <w:szCs w:val="32"/>
          <w:highlight w:val="none"/>
          <w:lang w:val="en-US" w:eastAsia="zh-CN"/>
        </w:rPr>
        <w:t>，各经济开发区、园区管理委员会</w:t>
      </w:r>
      <w:r>
        <w:rPr>
          <w:rFonts w:hint="default" w:ascii="Times New Roman" w:hAnsi="Times New Roman" w:eastAsia="楷体_GB2312" w:cs="Times New Roman"/>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楷体_GBK" w:cs="Times New Roman"/>
          <w:b w:val="0"/>
          <w:bCs/>
          <w:color w:val="auto"/>
          <w:sz w:val="32"/>
          <w:szCs w:val="32"/>
          <w:highlight w:val="none"/>
          <w:lang w:val="en-US" w:eastAsia="zh-CN"/>
        </w:rPr>
        <w:t>（二）赋能基层服务提升</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建立协调服务机制。加强旗区乡镇、街道营商服务队伍建设，并开展常态化培训。探索建立</w:t>
      </w:r>
      <w:r>
        <w:rPr>
          <w:rFonts w:hint="eastAsia" w:ascii="仿宋_GB2312" w:hAnsi="仿宋_GB2312" w:eastAsia="仿宋_GB2312" w:cs="仿宋_GB2312"/>
          <w:b w:val="0"/>
          <w:bCs/>
          <w:color w:val="auto"/>
          <w:sz w:val="32"/>
          <w:szCs w:val="32"/>
          <w:highlight w:val="none"/>
          <w:lang w:val="en-US" w:eastAsia="zh-CN"/>
        </w:rPr>
        <w:t>“街镇吹哨、部门报到”机</w:t>
      </w:r>
      <w:r>
        <w:rPr>
          <w:rFonts w:hint="default" w:ascii="Times New Roman" w:hAnsi="Times New Roman" w:eastAsia="仿宋_GB2312" w:cs="Times New Roman"/>
          <w:b w:val="0"/>
          <w:bCs/>
          <w:color w:val="auto"/>
          <w:sz w:val="32"/>
          <w:szCs w:val="32"/>
          <w:highlight w:val="none"/>
          <w:lang w:val="en-US" w:eastAsia="zh-CN"/>
        </w:rPr>
        <w:t>制，赋能基层精准服务企业。支持旗区、乡镇、街道、社区查询相关数据，赋能基层营商服务持续提升。</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市行政审批政务服务与数据管理局</w:t>
      </w:r>
      <w:r>
        <w:rPr>
          <w:rFonts w:hint="default" w:ascii="Times New Roman" w:hAnsi="Times New Roman" w:eastAsia="楷体_GB2312" w:cs="Times New Roman"/>
          <w:b w:val="0"/>
          <w:bCs/>
          <w:color w:val="auto"/>
          <w:sz w:val="32"/>
          <w:szCs w:val="32"/>
          <w:highlight w:val="none"/>
          <w:lang w:val="en-US" w:eastAsia="zh-CN"/>
        </w:rPr>
        <w:t>、市直有关部门</w:t>
      </w:r>
      <w:r>
        <w:rPr>
          <w:rFonts w:hint="eastAsia" w:ascii="Times New Roman" w:hAnsi="Times New Roman" w:eastAsia="楷体_GB2312" w:cs="Times New Roman"/>
          <w:b w:val="0"/>
          <w:bCs/>
          <w:color w:val="auto"/>
          <w:sz w:val="32"/>
          <w:szCs w:val="32"/>
          <w:highlight w:val="none"/>
          <w:lang w:val="en-US" w:eastAsia="zh-CN"/>
        </w:rPr>
        <w:t>，</w:t>
      </w:r>
      <w:r>
        <w:rPr>
          <w:rFonts w:hint="default" w:ascii="Times New Roman" w:hAnsi="Times New Roman" w:eastAsia="楷体_GB2312" w:cs="Times New Roman"/>
          <w:b w:val="0"/>
          <w:bCs/>
          <w:color w:val="auto"/>
          <w:sz w:val="32"/>
          <w:szCs w:val="32"/>
          <w:highlight w:val="none"/>
          <w:lang w:val="en-US" w:eastAsia="zh-CN"/>
        </w:rPr>
        <w:t>各旗区人民政府）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（三）推进多元协同共建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凝聚多元共建力量。联合高校智库等第三方机构开展前瞻性政策研究，为营商环境持续优化提供智力支撑。统筹多方力量、汇集多方智慧，构建营商环境协作共建工作格局。</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市工商业联合会</w:t>
      </w:r>
      <w:r>
        <w:rPr>
          <w:rFonts w:hint="default" w:ascii="Times New Roman" w:hAnsi="Times New Roman" w:eastAsia="楷体_GB2312" w:cs="Times New Roman"/>
          <w:b w:val="0"/>
          <w:bCs/>
          <w:color w:val="auto"/>
          <w:sz w:val="32"/>
          <w:szCs w:val="32"/>
          <w:highlight w:val="none"/>
          <w:lang w:val="en-US" w:eastAsia="zh-CN"/>
        </w:rPr>
        <w:t>、市经济合作服务中心）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（四）营造良好社会氛围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1.构建和谐社会氛围</w:t>
      </w:r>
      <w:r>
        <w:rPr>
          <w:rFonts w:hint="default" w:ascii="Times New Roman" w:hAnsi="Times New Roman" w:eastAsia="仿宋_GB2312" w:cs="Times New Roman"/>
          <w:b w:val="0"/>
          <w:bCs/>
          <w:color w:val="auto"/>
          <w:sz w:val="32"/>
          <w:szCs w:val="32"/>
          <w:highlight w:val="none"/>
          <w:lang w:val="en-US" w:eastAsia="zh-CN"/>
        </w:rPr>
        <w:t>。综合运用各类媒体，打造营商环境品牌宣传矩阵，广泛宣传鄂尔多斯市优化营商环境的亮点做法和创新案例，持续打响</w:t>
      </w:r>
      <w:r>
        <w:rPr>
          <w:rFonts w:hint="eastAsia" w:ascii="仿宋_GB2312" w:hAnsi="仿宋_GB2312" w:eastAsia="仿宋_GB2312" w:cs="仿宋_GB2312"/>
          <w:b w:val="0"/>
          <w:bCs/>
          <w:color w:val="auto"/>
          <w:sz w:val="32"/>
          <w:szCs w:val="32"/>
          <w:highlight w:val="none"/>
          <w:lang w:val="en-US" w:eastAsia="zh-CN"/>
        </w:rPr>
        <w:t>“暖城五心”营商环</w:t>
      </w:r>
      <w:r>
        <w:rPr>
          <w:rFonts w:hint="default" w:ascii="Times New Roman" w:hAnsi="Times New Roman" w:eastAsia="仿宋_GB2312" w:cs="Times New Roman"/>
          <w:b w:val="0"/>
          <w:bCs/>
          <w:color w:val="auto"/>
          <w:sz w:val="32"/>
          <w:szCs w:val="32"/>
          <w:highlight w:val="none"/>
          <w:lang w:val="en-US" w:eastAsia="zh-CN"/>
        </w:rPr>
        <w:t>境品牌。</w:t>
      </w:r>
      <w:r>
        <w:rPr>
          <w:rFonts w:hint="default" w:ascii="Times New Roman" w:hAnsi="Times New Roman" w:eastAsia="楷体_GB2312" w:cs="Times New Roman"/>
          <w:b w:val="0"/>
          <w:bCs/>
          <w:color w:val="auto"/>
          <w:sz w:val="32"/>
          <w:szCs w:val="32"/>
          <w:highlight w:val="none"/>
          <w:lang w:val="en-US" w:eastAsia="zh-CN"/>
        </w:rPr>
        <w:t>（责任单位：市委宣传部、市经济合作服务中心）</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楷体_GB2312" w:cs="Times New Roman"/>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2.提升城</w:t>
      </w:r>
      <w:r>
        <w:rPr>
          <w:rFonts w:hint="eastAsia" w:ascii="Times New Roman" w:hAnsi="Times New Roman" w:eastAsia="仿宋_GB2312" w:cs="Times New Roman"/>
          <w:b w:val="0"/>
          <w:bCs/>
          <w:color w:val="auto"/>
          <w:sz w:val="32"/>
          <w:szCs w:val="32"/>
          <w:highlight w:val="none"/>
          <w:lang w:val="en-US" w:eastAsia="zh-CN"/>
        </w:rPr>
        <w:t>市生活品质。全面提升教育、医疗、养老等公共服务供给质量，持续推进文旅消费提质扩容、智慧交通提效增智、生态环境持续改善，着力营造宜业、宜居、宜游的高品质城市发展环境，通过可触可及、可感可享的服务，让发展成果更多更公平地惠及市民。</w:t>
      </w:r>
      <w:r>
        <w:rPr>
          <w:rFonts w:hint="default" w:ascii="Times New Roman" w:hAnsi="Times New Roman" w:eastAsia="楷体_GB2312" w:cs="Times New Roman"/>
          <w:b w:val="0"/>
          <w:bCs/>
          <w:color w:val="auto"/>
          <w:sz w:val="32"/>
          <w:szCs w:val="32"/>
          <w:highlight w:val="none"/>
          <w:lang w:val="en-US" w:eastAsia="zh-CN"/>
        </w:rPr>
        <w:t>（责任单位：</w:t>
      </w:r>
      <w:r>
        <w:rPr>
          <w:rFonts w:hint="eastAsia" w:ascii="Times New Roman" w:hAnsi="Times New Roman" w:eastAsia="楷体_GB2312" w:cs="Times New Roman"/>
          <w:b w:val="0"/>
          <w:bCs/>
          <w:color w:val="auto"/>
          <w:sz w:val="32"/>
          <w:szCs w:val="32"/>
          <w:highlight w:val="none"/>
          <w:lang w:val="en-US" w:eastAsia="zh-CN"/>
        </w:rPr>
        <w:t>市教育体育局</w:t>
      </w:r>
      <w:r>
        <w:rPr>
          <w:rFonts w:hint="default" w:ascii="Times New Roman" w:hAnsi="Times New Roman" w:eastAsia="楷体_GB2312" w:cs="Times New Roman"/>
          <w:b w:val="0"/>
          <w:bCs/>
          <w:color w:val="auto"/>
          <w:sz w:val="32"/>
          <w:szCs w:val="32"/>
          <w:highlight w:val="none"/>
          <w:lang w:val="en-US" w:eastAsia="zh-CN"/>
        </w:rPr>
        <w:t>、市民政局、市生态环境局、</w:t>
      </w:r>
      <w:r>
        <w:rPr>
          <w:rFonts w:hint="eastAsia" w:ascii="Times New Roman" w:hAnsi="Times New Roman" w:eastAsia="楷体_GB2312" w:cs="Times New Roman"/>
          <w:b w:val="0"/>
          <w:bCs/>
          <w:color w:val="auto"/>
          <w:sz w:val="32"/>
          <w:szCs w:val="32"/>
          <w:highlight w:val="none"/>
          <w:lang w:val="en-US" w:eastAsia="zh-CN"/>
        </w:rPr>
        <w:t>市交通运输局</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市文化和旅游局</w:t>
      </w:r>
      <w:r>
        <w:rPr>
          <w:rFonts w:hint="default" w:ascii="Times New Roman" w:hAnsi="Times New Roman" w:eastAsia="楷体_GB2312" w:cs="Times New Roman"/>
          <w:b w:val="0"/>
          <w:bCs/>
          <w:color w:val="auto"/>
          <w:sz w:val="32"/>
          <w:szCs w:val="32"/>
          <w:highlight w:val="none"/>
          <w:lang w:val="en-US" w:eastAsia="zh-CN"/>
        </w:rPr>
        <w:t>、</w:t>
      </w:r>
      <w:r>
        <w:rPr>
          <w:rFonts w:hint="eastAsia" w:ascii="Times New Roman" w:hAnsi="Times New Roman" w:eastAsia="楷体_GB2312" w:cs="Times New Roman"/>
          <w:b w:val="0"/>
          <w:bCs/>
          <w:color w:val="auto"/>
          <w:sz w:val="32"/>
          <w:szCs w:val="32"/>
          <w:highlight w:val="none"/>
          <w:lang w:val="en-US" w:eastAsia="zh-CN"/>
        </w:rPr>
        <w:t>市卫生健康委员会、</w:t>
      </w:r>
      <w:r>
        <w:rPr>
          <w:rFonts w:hint="default" w:ascii="Times New Roman" w:hAnsi="Times New Roman" w:eastAsia="楷体_GB2312" w:cs="Times New Roman"/>
          <w:b w:val="0"/>
          <w:bCs/>
          <w:color w:val="auto"/>
          <w:sz w:val="32"/>
          <w:szCs w:val="32"/>
          <w:highlight w:val="none"/>
          <w:lang w:val="en-US" w:eastAsia="zh-CN"/>
        </w:rPr>
        <w:t>市经济合作服务中心）</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各旗区</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各有关部门、各经济开发区（园区）要提高政治站位，强化思想认识，主动作为，密切配合，对照本行动方案任务清单，进一步明确时间表、路线图、责任人，推动全市营商环境整体优化、持续改善，为各类经营主体营造良好发展环境。</w:t>
      </w:r>
    </w:p>
    <w:p>
      <w:pPr>
        <w:pStyle w:val="7"/>
        <w:ind w:left="0" w:leftChars="0" w:firstLine="0" w:firstLineChars="0"/>
        <w:rPr>
          <w:rFonts w:hint="eastAsia" w:ascii="仿宋_GB2312" w:hAnsi="仿宋" w:eastAsia="仿宋_GB2312"/>
          <w:b w:val="0"/>
          <w:bCs/>
          <w:color w:val="auto"/>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b w:val="0"/>
          <w:bCs/>
          <w:color w:val="auto"/>
          <w:sz w:val="32"/>
          <w:szCs w:val="24"/>
        </w:rPr>
      </w:pPr>
      <w:r>
        <w:rPr>
          <w:rFonts w:hint="eastAsia" w:ascii="仿宋_GB2312" w:hAnsi="仿宋" w:eastAsia="仿宋_GB2312" w:cs="Times New Roman"/>
          <w:b w:val="0"/>
          <w:bCs/>
          <w:color w:val="auto"/>
          <w:sz w:val="32"/>
          <w:szCs w:val="24"/>
        </w:rPr>
        <w:t>附件：鄂尔多斯市持续打造一流营商环境行动方案（2026年）任务清单</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ascii="仿宋_GB2312" w:hAnsi="仿宋" w:eastAsia="仿宋_GB2312"/>
          <w:b w:val="0"/>
          <w:bCs/>
          <w:color w:val="auto"/>
          <w:sz w:val="32"/>
        </w:rPr>
      </w:pPr>
    </w:p>
    <mc:AlternateContent>
      <mc:Choice Requires="wpsCustomData">
        <wpsCustomData:docfieldEnd id="2"/>
      </mc:Choice>
    </mc:AlternateContent>
    <mc:AlternateContent>
      <mc:Choice Requires="wpsCustomData">
        <wpsCustomData:docfieldEnd id="3"/>
      </mc:Choice>
    </mc:AlternateContent>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bookmarkStart w:id="3" w:name="正文结束"/>
      <w:bookmarkEnd w:id="3"/>
      <mc:AlternateContent>
        <mc:Choice Requires="wpsCustomData">
          <wpsCustomData:docfieldStart id="4" docfieldname="正文结束" hidden="0" print="1" readonly="0" index="5"/>
        </mc:Choice>
      </mc:AlternateContent>
      <mc:AlternateContent>
        <mc:Choice Requires="wpsCustomData">
          <wpsCustomData:docfieldEnd id="4"/>
        </mc:Choice>
      </mc:AlternateContent>
    </w:p>
    <w:p>
      <w:pPr>
        <w:spacing w:line="560" w:lineRule="exact"/>
        <w:rPr>
          <w:rFonts w:hint="eastAsia" w:ascii="仿宋_GB2312" w:eastAsia="仿宋_GB2312"/>
          <w:sz w:val="32"/>
          <w:szCs w:val="32"/>
          <w:lang w:eastAsia="zh-CN"/>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ind w:firstLine="280" w:firstLineChars="100"/>
        <w:rPr>
          <w:rFonts w:hint="eastAsia" w:ascii="Times New Roman" w:eastAsia="仿宋_GB2312"/>
          <w:sz w:val="28"/>
          <w:lang w:eastAsia="zh-CN"/>
        </w:rPr>
      </w:pPr>
      <w:r>
        <w:rPr>
          <w:rFonts w:hint="eastAsia"/>
          <w:sz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15940" cy="0"/>
                <wp:effectExtent l="0" t="9525" r="3810" b="9525"/>
                <wp:wrapNone/>
                <wp:docPr id="4" name="Line 5"/>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5" o:spid="_x0000_s1026" o:spt="20" style="position:absolute;left:0pt;margin-left:0pt;margin-top:0pt;height:0pt;width:442.2pt;z-index:251661312;mso-width-relative:page;mso-height-relative:page;" filled="f" stroked="t" coordsize="21600,21600" o:gfxdata="UEsFBgAAAAAAAAAAAAAAAAAAAAAAAFBLAwQKAAAAAACHTuJAAAAAAAAAAAAAAAAABAAAAGRycy9Q&#10;SwMEFAAAAAgAh07iQImvKT3QAAAAAgEAAA8AAABkcnMvZG93bnJldi54bWxNj8FOwzAMhu9IvENk&#10;JG4sHSoolKaTmMRlN8o0OHpN1lZLnKrJuvXt8bjAxdKv3/r8uVxdvBOTHWMfSMNykYGw1ATTU6th&#10;+/n+oEDEhGTQBbIaZhthVd3elFiYcKYPO9WpFQyhWKCGLqWhkDI2nfUYF2GwxN0hjB4Tx7GVZsQz&#10;w72Tj1n2LD32xBc6HOy6s82xPnmmPH2ptw2q7Ty7+vslX+82E3mt7++W2SuIZC/pbxmu+qwOFTvt&#10;w4lMFE4DP5J+J3dK5TmI/TXKqpT/1asfUEsDBBQAAAAIAIdO4kC01I772wEAANoDAAAOAAAAZHJz&#10;L2Uyb0RvYy54bWytU01v2zAMvQ/ofxB0b5wUTbEacXpo1l2KLcC2H6BIlC1AXxCVOPn3o+Q03bpL&#10;DvNBpkTqke+RWj0dnWUHSGiC7/hiNucMvAzK+L7jv36+3H7mDLPwStjgoeMnQP60vvm0GmMLd2EI&#10;VkFiBOKxHWPHh5xj2zQoB3ACZyGCJ6cOyYlM29Q3KomR0J1t7ubzh2YMScUUJCDS6WZy8jNiugYw&#10;aG0kbILcO/B5Qk1gRSZKOJiIfF2r1Rpk/q41Qma248Q015WSkL0ra7NeibZPIg5GnksQ15TwgZMT&#10;xlPSC9RGZMH2yfwD5YxMAYPOMxlcMxGpihCLxfyDNj8GEaFyIakxXkTH/wcrvx22iRnV8XvOvHDU&#10;8FfjgS2LMmPElgKe/Taddxi3qdA86uTKnwiwY1XzdFETjplJOlw+LJaP9yS0fPM17xdjwvwVgmPF&#10;6LilnFU/cXjFTMko9C2k5LGejTSsj/NlwRM0dpraTaaLVDr6vl7GYI16MdaWK5j63bNN7CBK6+tX&#10;OBHwX2Ely0bgMMVV1zQUAwj1xSuWT5FE8fQWeKnBgeLMAj2dYhGgaLMw9ppISm09VVBknYQs1i6o&#10;E7VgH5PpB5JiUassHmp5rfc8nmWm/txXpPcnuf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ia8p&#10;PdAAAAACAQAADwAAAAAAAAABACAAAAA4AAAAZHJzL2Rvd25yZXYueG1sUEsBAhQAFAAAAAgAh07i&#10;QLTUjvvbAQAA2gMAAA4AAAAAAAAAAQAgAAAANQEAAGRycy9lMm9Eb2MueG1sUEsFBgAAAAAGAAYA&#10;WQEAAIIFAAAAAA==&#10;">
                <v:fill on="f" focussize="0,0"/>
                <v:stroke weight="1.5pt" color="#000000" joinstyle="round"/>
                <v:imagedata o:title=""/>
                <o:lock v:ext="edit" aspectratio="f"/>
              </v:line>
            </w:pict>
          </mc:Fallback>
        </mc:AlternateContent>
      </w:r>
      <w:r>
        <w:rPr>
          <w:rFonts w:hint="eastAsia" w:ascii="仿宋_GB2312" w:eastAsia="仿宋_GB2312"/>
          <w:sz w:val="28"/>
        </w:rPr>
        <w:t>抄送：</w:t>
      </w:r>
      <w:bookmarkStart w:id="4" w:name="C_GW_FW_0002"/>
      <w:bookmarkEnd w:id="4"/>
      <mc:AlternateContent>
        <mc:Choice Requires="wpsCustomData">
          <wpsCustomData:docfieldStart id="5" docfieldname="C_GW_FW_0002" hidden="0" print="1" readonly="0" index="6"/>
        </mc:Choice>
      </mc:AlternateContent>
      <w:r>
        <w:rPr>
          <w:rFonts w:hint="eastAsia" w:ascii="仿宋_GB2312" w:eastAsia="仿宋_GB2312"/>
          <w:sz w:val="28"/>
          <w:lang w:eastAsia="zh-CN"/>
        </w:rPr>
        <w:t>市委办公室、市人大常委会办公室、市政协办公室，各驻军部队，纪委，监察委，法院，检察院，市委各部门，各人民团体，各新闻单位。</w:t>
      </w:r>
      <mc:AlternateContent>
        <mc:Choice Requires="wpsCustomData">
          <wpsCustomData:docfieldEnd id="5"/>
        </mc:Choice>
      </mc:AlternateContent>
    </w:p>
    <w:p>
      <w:pPr>
        <w:ind w:firstLine="280" w:firstLineChars="100"/>
        <w:jc w:val="left"/>
        <w:rPr>
          <w:rFonts w:hint="eastAsia" w:ascii="仿宋_GB2312" w:eastAsia="仿宋_GB2312"/>
          <w:sz w:val="28"/>
        </w:rPr>
      </w:pPr>
      <w:r>
        <w:rPr>
          <w:rFonts w:hint="eastAsia" w:ascii="仿宋_GB2312" w:eastAsia="仿宋_GB2312"/>
          <w:sz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15940" cy="0"/>
                <wp:effectExtent l="0" t="4445" r="0" b="5080"/>
                <wp:wrapNone/>
                <wp:docPr id="2" name="Line 3"/>
                <wp:cNvGraphicFramePr/>
                <a:graphic xmlns:a="http://schemas.openxmlformats.org/drawingml/2006/main">
                  <a:graphicData uri="http://schemas.microsoft.com/office/word/2010/wordprocessingShape">
                    <wps:wsp>
                      <wps:cNvCnPr/>
                      <wps:spPr>
                        <a:xfrm>
                          <a:off x="0" y="0"/>
                          <a:ext cx="561594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pt;margin-top:0pt;height:0pt;width:442.2pt;z-index:251659264;mso-width-relative:page;mso-height-relative:page;" filled="f" stroked="t" coordsize="21600,21600" o:gfxdata="UEsFBgAAAAAAAAAAAAAAAAAAAAAAAFBLAwQKAAAAAACHTuJAAAAAAAAAAAAAAAAABAAAAGRycy9Q&#10;SwMEFAAAAAgAh07iQL8TCSXRAAAAAgEAAA8AAABkcnMvZG93bnJldi54bWxNj0FLw0AQhe+C/2EZ&#10;wZvdtJQaYjYFrR612IrnaXbMBrOzIbtNqr/eqRe9PHi84b1vyvXJd2qkIbaBDcxnGSjiOtiWGwNv&#10;+6ebHFRMyBa7wGTgiyKsq8uLEgsbJn6lcZcaJSUcCzTgUuoLrWPtyGOchZ5Yso8weExih0bbAScp&#10;951eZNlKe2xZFhz29OCo/twdvYHv1eQ2+vHlduve9X2+fd6PC9oYc301z+5AJTqlv2M44ws6VMJ0&#10;CEe2UXUG5JH0q5Ll+XIJ6nC2uir1f/TqB1BLAwQUAAAACACHTuJAWnowp9oBAADZAwAADgAAAGRy&#10;cy9lMm9Eb2MueG1srVNNjxMxDL0j8R+i3Om0hS0w6nQPW5bLCioBP8DNx0ykfClOO+2/x8l0u7Bc&#10;emAOGSd2nv2enfX9yVl2VAlN8B1fzOacKS+CNL7v+K+fj+8+cYYZvAQbvOr4WSG/37x9sx5jq5Zh&#10;CFaqxAjEYzvGjg85x7ZpUAzKAc5CVJ6cOiQHmbapb2SCkdCdbZbz+aoZQ5IxBaEQ6XQ7OfkFMd0C&#10;GLQ2Qm2DODjl84SalIVMlHAwEfmmVqu1Evm71qgysx0nprmulITsfVmbzRraPkEcjLiUALeU8IqT&#10;A+Mp6RVqCxnYIZl/oJwRKWDQeSaCayYiVRFisZi/0ubHAFFVLiQ1xqvo+P9gxbfjLjEjO77kzIOj&#10;hj8Zr9j7oswYsaWAB79Llx3GXSo0Tzq58icC7FTVPF/VVKfMBB3erRZ3nz+Q0OLZ17xcjAnzVxUc&#10;K0bHLeWs+sHxCTMlo9DnkJLHejZ2/ONqWeCApk5Tt8l0kSpH39e7GKyRj8bacgNTv3+wiR2hdL5+&#10;hRLh/hVWkmwBhymuuqaZGBTIL16yfI6kiaenwEsJTknOrKKXUywChDaDsbdEUmrrqYKi6qRjsfZB&#10;nqkDh5hMP5ASi1pl8VDHa72X6Swj9ee+Ir28yM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vxMJ&#10;JdEAAAACAQAADwAAAAAAAAABACAAAAA4AAAAZHJzL2Rvd25yZXYueG1sUEsBAhQAFAAAAAgAh07i&#10;QFp6MKfaAQAA2QMAAA4AAAAAAAAAAQAgAAAANgEAAGRycy9lMm9Eb2MueG1sUEsFBgAAAAAGAAYA&#10;WQEAAIIFAAAAAA==&#10;">
                <v:fill on="f" focussize="0,0"/>
                <v:stroke weight="0.6pt" color="#000000" joinstyle="round"/>
                <v:imagedata o:title=""/>
                <o:lock v:ext="edit" aspectratio="f"/>
              </v:line>
            </w:pict>
          </mc:Fallback>
        </mc:AlternateContent>
      </w:r>
      <w:r>
        <w:rPr>
          <w:rFonts w:hint="eastAsia" w:ascii="仿宋_GB2312" w:eastAsia="仿宋_GB2312"/>
          <w:sz w:val="28"/>
        </w:rPr>
        <w:t xml:space="preserve">鄂尔多斯市人民政府办公室                </w:t>
      </w:r>
      <w:bookmarkStart w:id="5" w:name="印发日期"/>
      <w:bookmarkEnd w:id="5"/>
      <w:r>
        <w:rPr>
          <w:rFonts w:hint="eastAsia" w:ascii="仿宋_GB2312" w:eastAsia="仿宋_GB2312"/>
          <w:sz w:val="28"/>
          <w:lang w:val="en-US" w:eastAsia="zh-CN"/>
        </w:rPr>
        <w:t>2026年2月26日</w:t>
      </w:r>
      <w:r>
        <w:rPr>
          <w:rFonts w:hint="eastAsia" w:ascii="仿宋_GB2312" w:eastAsia="仿宋_GB2312"/>
          <w:sz w:val="28"/>
        </w:rPr>
        <w:t>印发</w:t>
      </w:r>
    </w:p>
    <w:p>
      <w:pPr>
        <w:wordWrap w:val="0"/>
        <w:ind w:firstLine="210" w:firstLineChars="100"/>
        <w:jc w:val="right"/>
        <w:rPr>
          <w:rFonts w:hint="eastAsia" w:ascii="Times New Roman"/>
          <w:sz w:val="32"/>
          <w:szCs w:val="32"/>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15940" cy="0"/>
                <wp:effectExtent l="0" t="9525" r="3810" b="9525"/>
                <wp:wrapNone/>
                <wp:docPr id="3" name="Line 4"/>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0pt;margin-top:0pt;height:0pt;width:442.2pt;z-index:251660288;mso-width-relative:page;mso-height-relative:page;" filled="f" stroked="t" coordsize="21600,21600" o:gfxdata="UEsFBgAAAAAAAAAAAAAAAAAAAAAAAFBLAwQKAAAAAACHTuJAAAAAAAAAAAAAAAAABAAAAGRycy9Q&#10;SwMEFAAAAAgAh07iQImvKT3QAAAAAgEAAA8AAABkcnMvZG93bnJldi54bWxNj8FOwzAMhu9IvENk&#10;JG4sHSoolKaTmMRlN8o0OHpN1lZLnKrJuvXt8bjAxdKv3/r8uVxdvBOTHWMfSMNykYGw1ATTU6th&#10;+/n+oEDEhGTQBbIaZhthVd3elFiYcKYPO9WpFQyhWKCGLqWhkDI2nfUYF2GwxN0hjB4Tx7GVZsQz&#10;w72Tj1n2LD32xBc6HOy6s82xPnmmPH2ptw2q7Ty7+vslX+82E3mt7++W2SuIZC/pbxmu+qwOFTvt&#10;w4lMFE4DP5J+J3dK5TmI/TXKqpT/1asfUEsDBBQAAAAIAIdO4kB/r2K12wEAANoDAAAOAAAAZHJz&#10;L2Uyb0RvYy54bWytU01v2zAMvQ/YfxB0X5x0TbEacXpo1l2KLcC6H6BIlC1AXxCVOPn3o+Q03bpL&#10;DvNBpkTqke+RWj0cnWUHSGiC7/hiNucMvAzK+L7jv16ePn3hDLPwStjgoeMnQP6w/vhhNcYWbsIQ&#10;rILECMRjO8aODznHtmlQDuAEzkIET04dkhOZtqlvVBIjoTvb3Mznd80YkoopSECk083k5GfEdA1g&#10;0NpI2AS5d+DzhJrAikyUcDAR+bpWqzXI/ENrhMxsx4lprislIXtX1ma9Em2fRByMPJcgrinhHScn&#10;jKekF6iNyILtk/kHyhmZAgadZzK4ZiJSFSEWi/k7bX4OIkLlQlJjvIiO/w9Wfj9sEzOq458588JR&#10;w5+NB3ZblBkjthTw6LfpvMO4TYXmUSdX/kSAHauap4uacMxM0uHybrG8vyWh5auvebsYE+ZvEBwr&#10;Rsct5az6icMzZkpGoa8hJY/1bKRhvZ8vC56gsdPUbjJdpNLR9/UyBmvUk7G2XMHU7x5tYgdRWl+/&#10;womA/worWTYChymuuqahGECor16xfIokiqe3wEsNDhRnFujpFIsARZuFsddEUmrrqYIi6yRksXZB&#10;nagF+5hMP5AUi1pl8VDLa73n8Swz9ee+Ir09yf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ia8p&#10;PdAAAAACAQAADwAAAAAAAAABACAAAAA4AAAAZHJzL2Rvd25yZXYueG1sUEsBAhQAFAAAAAgAh07i&#10;QH+vYrXbAQAA2gMAAA4AAAAAAAAAAQAgAAAANQEAAGRycy9lMm9Eb2MueG1sUEsFBgAAAAAGAAYA&#10;WQEAAIIFAAAAAA==&#10;">
                <v:fill on="f" focussize="0,0"/>
                <v:stroke weight="1.5pt" color="#000000" joinstyle="round"/>
                <v:imagedata o:title=""/>
                <o:lock v:ext="edit" aspectratio="f"/>
              </v:line>
            </w:pict>
          </mc:Fallback>
        </mc:AlternateContent>
      </w:r>
      <w:r>
        <w:rPr>
          <w:rFonts w:hint="eastAsia" w:eastAsia="仿宋_GB2312"/>
          <w:sz w:val="32"/>
          <w:szCs w:val="32"/>
        </w:rPr>
        <w:t>　　　</w:t>
      </w:r>
      <mc:AlternateContent>
        <mc:Choice Requires="wpsCustomData">
          <wpsCustomData:docfieldStart id="6" docfieldname="二维条码" hidden="0" print="1" readonly="0" index="7"/>
        </mc:Choice>
      </mc:AlternateContent>
      <mc:AlternateContent>
        <mc:Choice Requires="wpsCustomData">
          <wpsCustomData:docfieldEnd id="6"/>
        </mc:Choice>
      </mc:AlternateContent>
      <w:bookmarkStart w:id="6" w:name="二维条码"/>
      <w:bookmarkEnd w:id="6"/>
    </w:p>
    <w:p>
      <w:pPr>
        <w:rPr>
          <w:szCs w:val="24"/>
        </w:rPr>
      </w:pPr>
    </w:p>
    <w:p/>
    <w:sectPr>
      <w:headerReference r:id="rId5"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2312">
    <w:altName w:val="楷体_GB2312"/>
    <w:panose1 w:val="02000000000000000000"/>
    <w:charset w:val="00"/>
    <w:family w:val="auto"/>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 PAGE </w:instrText>
    </w:r>
    <w:r>
      <w:rPr>
        <w:rFonts w:ascii="宋体" w:hAnsi="宋体"/>
        <w:sz w:val="28"/>
        <w:szCs w:val="28"/>
      </w:rPr>
      <w:fldChar w:fldCharType="separate"/>
    </w:r>
    <w:r>
      <w:rPr>
        <w:rStyle w:val="10"/>
        <w:rFonts w:ascii="宋体" w:hAnsi="宋体"/>
        <w:sz w:val="28"/>
        <w:szCs w:val="28"/>
      </w:rPr>
      <w:t>- 1 -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 PAGE </w:instrText>
    </w:r>
    <w:r>
      <w:rPr>
        <w:rFonts w:ascii="宋体" w:hAnsi="宋体"/>
        <w:sz w:val="28"/>
        <w:szCs w:val="28"/>
      </w:rPr>
      <w:fldChar w:fldCharType="separate"/>
    </w:r>
    <w:r>
      <w:rPr>
        <w:rStyle w:val="10"/>
        <w:rFonts w:ascii="宋体" w:hAnsi="宋体"/>
        <w:sz w:val="28"/>
        <w:szCs w:val="28"/>
      </w:rPr>
      <w:t>- 2 -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2708"/>
        </w:tabs>
        <w:ind w:left="2708" w:hanging="432"/>
      </w:pPr>
    </w:lvl>
    <w:lvl w:ilvl="1" w:tentative="0">
      <w:start w:val="1"/>
      <w:numFmt w:val="decimal"/>
      <w:lvlText w:val="%1.%2"/>
      <w:lvlJc w:val="left"/>
      <w:pPr>
        <w:tabs>
          <w:tab w:val="left" w:pos="2852"/>
        </w:tabs>
        <w:ind w:left="2852" w:hanging="576"/>
      </w:pPr>
    </w:lvl>
    <w:lvl w:ilvl="2" w:tentative="0">
      <w:start w:val="1"/>
      <w:numFmt w:val="decimal"/>
      <w:lvlText w:val="%1.%2.%3"/>
      <w:lvlJc w:val="left"/>
      <w:pPr>
        <w:tabs>
          <w:tab w:val="left" w:pos="3356"/>
        </w:tabs>
        <w:ind w:left="3356" w:hanging="720"/>
      </w:pPr>
      <w:rPr>
        <w:rFonts w:ascii="Times New Roman" w:hAnsi="Times New Roman" w:eastAsia="Times New Roman" w:cs="Times New Roman"/>
      </w:rPr>
    </w:lvl>
    <w:lvl w:ilvl="3" w:tentative="0">
      <w:start w:val="1"/>
      <w:numFmt w:val="decimal"/>
      <w:pStyle w:val="2"/>
      <w:lvlText w:val="%1.%2.%3.%4"/>
      <w:lvlJc w:val="left"/>
      <w:pPr>
        <w:tabs>
          <w:tab w:val="left" w:pos="3140"/>
        </w:tabs>
        <w:ind w:left="3140" w:hanging="864"/>
      </w:pPr>
    </w:lvl>
    <w:lvl w:ilvl="4" w:tentative="0">
      <w:start w:val="1"/>
      <w:numFmt w:val="decimal"/>
      <w:lvlText w:val="%1.%2.%3.%4.%5"/>
      <w:lvlJc w:val="left"/>
      <w:pPr>
        <w:tabs>
          <w:tab w:val="left" w:pos="3284"/>
        </w:tabs>
        <w:ind w:left="3284" w:hanging="1008"/>
      </w:pPr>
    </w:lvl>
    <w:lvl w:ilvl="5" w:tentative="0">
      <w:start w:val="1"/>
      <w:numFmt w:val="decimal"/>
      <w:lvlText w:val="%1.%2.%3.%4.%5.%6"/>
      <w:lvlJc w:val="left"/>
      <w:pPr>
        <w:tabs>
          <w:tab w:val="left" w:pos="3428"/>
        </w:tabs>
        <w:ind w:left="3428" w:hanging="1152"/>
      </w:pPr>
    </w:lvl>
    <w:lvl w:ilvl="6" w:tentative="0">
      <w:start w:val="1"/>
      <w:numFmt w:val="decimal"/>
      <w:lvlText w:val="%1.%2.%3.%4.%5.%6.%7"/>
      <w:lvlJc w:val="left"/>
      <w:pPr>
        <w:tabs>
          <w:tab w:val="left" w:pos="3572"/>
        </w:tabs>
        <w:ind w:left="3572" w:hanging="1296"/>
      </w:pPr>
    </w:lvl>
    <w:lvl w:ilvl="7" w:tentative="0">
      <w:start w:val="1"/>
      <w:numFmt w:val="decimal"/>
      <w:lvlText w:val="%1.%2.%3.%4.%5.%6.%7.%8"/>
      <w:lvlJc w:val="left"/>
      <w:pPr>
        <w:tabs>
          <w:tab w:val="left" w:pos="3716"/>
        </w:tabs>
        <w:ind w:left="3716" w:hanging="1440"/>
      </w:pPr>
    </w:lvl>
    <w:lvl w:ilvl="8" w:tentative="0">
      <w:start w:val="1"/>
      <w:numFmt w:val="decimal"/>
      <w:lvlText w:val="%1.%2.%3.%4.%5.%6.%7.%8.%9"/>
      <w:lvlJc w:val="left"/>
      <w:pPr>
        <w:tabs>
          <w:tab w:val="left" w:pos="3860"/>
        </w:tabs>
        <w:ind w:left="3860"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3CA"/>
    <w:rsid w:val="00006964"/>
    <w:rsid w:val="00011105"/>
    <w:rsid w:val="00167FA1"/>
    <w:rsid w:val="0017535C"/>
    <w:rsid w:val="001B121D"/>
    <w:rsid w:val="001D2DC8"/>
    <w:rsid w:val="001F385C"/>
    <w:rsid w:val="001F5994"/>
    <w:rsid w:val="00217101"/>
    <w:rsid w:val="0025192F"/>
    <w:rsid w:val="00285039"/>
    <w:rsid w:val="002954FE"/>
    <w:rsid w:val="002B00E5"/>
    <w:rsid w:val="0030019B"/>
    <w:rsid w:val="003A0F62"/>
    <w:rsid w:val="003E0295"/>
    <w:rsid w:val="003F6E0E"/>
    <w:rsid w:val="004264F4"/>
    <w:rsid w:val="00426B83"/>
    <w:rsid w:val="004D33B0"/>
    <w:rsid w:val="004E39BF"/>
    <w:rsid w:val="004E51BA"/>
    <w:rsid w:val="004F1BCC"/>
    <w:rsid w:val="004F4FE9"/>
    <w:rsid w:val="004F596A"/>
    <w:rsid w:val="005776BE"/>
    <w:rsid w:val="005837D0"/>
    <w:rsid w:val="0059397C"/>
    <w:rsid w:val="00594ABE"/>
    <w:rsid w:val="006012FE"/>
    <w:rsid w:val="006B3BC4"/>
    <w:rsid w:val="007460BA"/>
    <w:rsid w:val="007707AB"/>
    <w:rsid w:val="00875AC9"/>
    <w:rsid w:val="008B0A77"/>
    <w:rsid w:val="008E457A"/>
    <w:rsid w:val="009210DA"/>
    <w:rsid w:val="009652CB"/>
    <w:rsid w:val="009C6C6D"/>
    <w:rsid w:val="00A61823"/>
    <w:rsid w:val="00A73F09"/>
    <w:rsid w:val="00AC01E3"/>
    <w:rsid w:val="00B046DA"/>
    <w:rsid w:val="00B25434"/>
    <w:rsid w:val="00B87876"/>
    <w:rsid w:val="00B907B3"/>
    <w:rsid w:val="00BD1B1B"/>
    <w:rsid w:val="00C006F4"/>
    <w:rsid w:val="00C24C2D"/>
    <w:rsid w:val="00C60627"/>
    <w:rsid w:val="00CD4BC2"/>
    <w:rsid w:val="00CD5AF6"/>
    <w:rsid w:val="00CF09B1"/>
    <w:rsid w:val="00D04B48"/>
    <w:rsid w:val="00D473CA"/>
    <w:rsid w:val="00D91D42"/>
    <w:rsid w:val="00D91EE9"/>
    <w:rsid w:val="00DA6E3B"/>
    <w:rsid w:val="00DD29E2"/>
    <w:rsid w:val="00E129C0"/>
    <w:rsid w:val="00E23743"/>
    <w:rsid w:val="00E5156E"/>
    <w:rsid w:val="00ED629F"/>
    <w:rsid w:val="00F2224D"/>
    <w:rsid w:val="00F2398A"/>
    <w:rsid w:val="067E7562"/>
    <w:rsid w:val="0BCB3067"/>
    <w:rsid w:val="10245C01"/>
    <w:rsid w:val="24844675"/>
    <w:rsid w:val="24E76918"/>
    <w:rsid w:val="26D65542"/>
    <w:rsid w:val="290C5FF2"/>
    <w:rsid w:val="42693382"/>
    <w:rsid w:val="49310822"/>
    <w:rsid w:val="55AE5199"/>
    <w:rsid w:val="5F986953"/>
    <w:rsid w:val="73763CFB"/>
    <w:rsid w:val="7A3E119B"/>
    <w:rsid w:val="7DCE42EC"/>
    <w:rsid w:val="7F190DCD"/>
    <w:rsid w:val="7F5F5DEE"/>
    <w:rsid w:val="7FDB60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next w:val="1"/>
    <w:qFormat/>
    <w:uiPriority w:val="0"/>
    <w:pPr>
      <w:keepNext/>
      <w:keepLines/>
      <w:widowControl w:val="0"/>
      <w:numPr>
        <w:ilvl w:val="3"/>
        <w:numId w:val="1"/>
      </w:numPr>
      <w:spacing w:before="280" w:after="290" w:line="372" w:lineRule="auto"/>
      <w:jc w:val="both"/>
      <w:outlineLvl w:val="3"/>
    </w:pPr>
    <w:rPr>
      <w:rFonts w:ascii="Arial" w:hAnsi="Arial" w:eastAsia="黑体" w:cs="Times New Roman"/>
      <w:b/>
      <w:bCs/>
      <w:kern w:val="2"/>
      <w:sz w:val="28"/>
      <w:szCs w:val="28"/>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Normal Indent"/>
    <w:next w:val="2"/>
    <w:qFormat/>
    <w:uiPriority w:val="0"/>
    <w:pPr>
      <w:widowControl/>
      <w:wordWrap w:val="0"/>
      <w:autoSpaceDE/>
      <w:autoSpaceDN/>
      <w:spacing w:before="0" w:after="0" w:line="240" w:lineRule="auto"/>
      <w:ind w:left="1096" w:firstLine="4"/>
      <w:jc w:val="both"/>
    </w:pPr>
    <w:rPr>
      <w:rFonts w:ascii="Times New Roman" w:hAnsi="Times New Roman" w:eastAsia="宋体" w:cs="Times New Roman"/>
      <w:kern w:val="2"/>
      <w:sz w:val="21"/>
      <w:szCs w:val="24"/>
      <w:lang w:val="en-US" w:eastAsia="zh-CN" w:bidi="ar-SA"/>
    </w:rPr>
  </w:style>
  <w:style w:type="paragraph" w:styleId="4">
    <w:name w:val="Body Text Indent"/>
    <w:next w:val="3"/>
    <w:unhideWhenUsed/>
    <w:qFormat/>
    <w:uiPriority w:val="99"/>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qFormat/>
    <w:uiPriority w:val="0"/>
    <w:pPr>
      <w:widowControl w:val="0"/>
      <w:spacing w:after="0" w:line="360" w:lineRule="auto"/>
      <w:ind w:left="0" w:leftChars="0" w:firstLine="420" w:firstLineChars="200"/>
      <w:jc w:val="both"/>
    </w:pPr>
    <w:rPr>
      <w:rFonts w:ascii="Times New Roman" w:hAnsi="Times New Roman" w:eastAsia="宋体" w:cs="Times New Roman"/>
      <w:kern w:val="2"/>
      <w:sz w:val="24"/>
      <w:szCs w:val="20"/>
      <w:lang w:val="en-US" w:eastAsia="zh-CN" w:bidi="ar-SA"/>
    </w:rPr>
  </w:style>
  <w:style w:type="character" w:styleId="10">
    <w:name w:val="page number"/>
    <w:qFormat/>
    <w:uiPriority w:val="0"/>
  </w:style>
  <w:style w:type="character" w:customStyle="1" w:styleId="11">
    <w:name w:val="页脚 Char"/>
    <w:link w:val="5"/>
    <w:qFormat/>
    <w:uiPriority w:val="99"/>
    <w:rPr>
      <w:kern w:val="2"/>
      <w:sz w:val="18"/>
      <w:szCs w:val="18"/>
    </w:rPr>
  </w:style>
  <w:style w:type="character" w:customStyle="1" w:styleId="12">
    <w:name w:val="页眉 Char"/>
    <w:link w:val="6"/>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apps/cn.wps.wps-office-pro/files/kingsoft/wps-office/office6/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1</Pages>
  <Words>17</Words>
  <Characters>17</Characters>
  <Lines>1</Lines>
  <Paragraphs>1</Paragraphs>
  <TotalTime>1</TotalTime>
  <ScaleCrop>false</ScaleCrop>
  <LinksUpToDate>false</LinksUpToDate>
  <CharactersWithSpaces>40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2020-12-31T07:58:00Z</dcterms:created>
  <dc:creator>系统管理员</dc:creator>
  <cp:lastModifiedBy>thtf</cp:lastModifiedBy>
  <dcterms:modified xsi:type="dcterms:W3CDTF">2026-03-30T14:49:10Z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KSOTemplateDocerSaveRecord">
    <vt:lpwstr>eyJoZGlkIjoiODQzNGFhMGI3ZDIxODg2NGE0MDM2ZjM5ZWYwYzU0NDMiLCJ1c2VySWQiOiI3ODMyNjkwOTcifQ==</vt:lpwstr>
  </property>
  <property fmtid="{D5CDD505-2E9C-101B-9397-08002B2CF9AE}" pid="4" name="ICV">
    <vt:lpwstr>CA7894A5A72E86599003A0691FF97DF8</vt:lpwstr>
  </property>
</Properties>
</file>