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2E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仿宋_GB2312" w:hAnsi="仿宋_GB2312" w:eastAsia="仿宋_GB2312" w:cs="仿宋_GB2312"/>
          <w:color w:val="auto"/>
          <w:spacing w:val="0"/>
          <w:sz w:val="32"/>
          <w:szCs w:val="32"/>
          <w:lang w:val="en-US" w:eastAsia="zh-CN"/>
        </w:rPr>
      </w:pPr>
      <w:r>
        <w:rPr>
          <w:rFonts w:hint="eastAsia" w:ascii="方正小标宋简体" w:hAnsi="方正小标宋简体" w:eastAsia="方正小标宋简体" w:cs="方正小标宋简体"/>
          <w:color w:val="auto"/>
          <w:spacing w:val="0"/>
          <w:sz w:val="44"/>
          <w:szCs w:val="44"/>
          <w:lang w:val="en-US" w:eastAsia="zh-CN"/>
        </w:rPr>
        <w:t>幸福养老  颐养康城</w:t>
      </w:r>
    </w:p>
    <w:p w14:paraId="6A8D22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p>
    <w:p w14:paraId="52432B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近年来，康巴什区不断优供给、夯基础、筑屏障、保民生，深刻践行“民政为民、民政爱民”理念，聚焦急难愁盼优服务，深化改革创新惠民生，积极主动为群众做好事、办实事、解难事，老年助餐服务方便可及、养老机构服务提质增效、养老服务设施优化布局，探索暖城康养“新路子”，促进供给能力“新发展”，养老服务体系不断健全，切实满足老年人多样化专业化的养老服务需求。</w:t>
      </w:r>
    </w:p>
    <w:p w14:paraId="790E6F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highlight w:val="none"/>
          <w:lang w:val="en-US" w:eastAsia="zh-CN"/>
        </w:rPr>
      </w:pPr>
      <w:r>
        <w:rPr>
          <w:rFonts w:hint="eastAsia" w:ascii="Calibri" w:hAnsi="Calibri" w:eastAsia="仿宋_GB2312" w:cs="宋体"/>
          <w:b/>
          <w:bCs/>
          <w:sz w:val="32"/>
          <w:highlight w:val="none"/>
          <w:lang w:val="en-US" w:eastAsia="zh-CN"/>
        </w:rPr>
        <w:t>一是实施老年人“社会关爱”行动。</w:t>
      </w:r>
      <w:r>
        <w:rPr>
          <w:rFonts w:hint="eastAsia" w:ascii="Calibri" w:hAnsi="Calibri" w:eastAsia="仿宋_GB2312" w:cs="宋体"/>
          <w:b w:val="0"/>
          <w:bCs w:val="0"/>
          <w:sz w:val="32"/>
          <w:highlight w:val="none"/>
          <w:lang w:val="en-US" w:eastAsia="zh-CN"/>
        </w:rPr>
        <w:t>开展</w:t>
      </w:r>
      <w:r>
        <w:rPr>
          <w:rFonts w:hint="eastAsia" w:ascii="仿宋_GB2312" w:hAnsi="仿宋_GB2312" w:eastAsia="仿宋_GB2312" w:cs="仿宋_GB2312"/>
          <w:b w:val="0"/>
          <w:bCs w:val="0"/>
          <w:sz w:val="32"/>
          <w:highlight w:val="none"/>
          <w:lang w:val="en-US" w:eastAsia="zh-CN"/>
        </w:rPr>
        <w:t>全国老年人友好型社区创建，完善社区基础设施建设，丰富老年人精神文化生活，积极开展丰富多彩的娱乐活动，目前康城社区和达尔罕社区已被评为全国老年人友好型社区。为康巴什区户籍70周岁以上的老年人发放高龄津贴，</w:t>
      </w:r>
      <w:r>
        <w:rPr>
          <w:rFonts w:hint="eastAsia" w:ascii="仿宋_GB2312" w:hAnsi="仿宋_GB2312" w:eastAsia="仿宋_GB2312" w:cs="仿宋_GB2312"/>
          <w:b w:val="0"/>
          <w:bCs w:val="0"/>
          <w:color w:val="0000FF"/>
          <w:sz w:val="32"/>
          <w:highlight w:val="none"/>
          <w:lang w:val="en-US" w:eastAsia="zh-CN"/>
        </w:rPr>
        <w:t>2025年共发放1.36万人次，发放资金116.3万元。</w:t>
      </w:r>
      <w:r>
        <w:rPr>
          <w:rFonts w:hint="eastAsia" w:ascii="仿宋_GB2312" w:hAnsi="仿宋_GB2312" w:eastAsia="仿宋_GB2312" w:cs="仿宋_GB2312"/>
          <w:b w:val="0"/>
          <w:bCs w:val="0"/>
          <w:sz w:val="32"/>
          <w:highlight w:val="none"/>
          <w:lang w:val="en-US" w:eastAsia="zh-CN"/>
        </w:rPr>
        <w:t>制定了《康巴什区特殊困难老年人探访关爱服务制度》，针对特殊困难的老年人开展上门探访关爱。针对辖区60周岁以上的老年人在养老餐厅就餐享受助餐补贴，切实满足老年人就餐需求，营造全社会敬老爱老孝老的氛围。</w:t>
      </w:r>
    </w:p>
    <w:p w14:paraId="5A9AF6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Calibri" w:hAnsi="Calibri" w:eastAsia="仿宋_GB2312" w:cs="宋体"/>
          <w:b w:val="0"/>
          <w:bCs w:val="0"/>
          <w:sz w:val="32"/>
          <w:lang w:val="en-US" w:eastAsia="zh-CN"/>
        </w:rPr>
      </w:pPr>
      <w:r>
        <w:rPr>
          <w:rFonts w:hint="eastAsia" w:ascii="Calibri" w:hAnsi="Calibri" w:eastAsia="仿宋_GB2312" w:cs="宋体"/>
          <w:b/>
          <w:bCs/>
          <w:sz w:val="32"/>
          <w:lang w:val="en-US" w:eastAsia="zh-CN"/>
        </w:rPr>
        <w:t>二是实施养老服务机构“提质增效”行动。</w:t>
      </w:r>
      <w:r>
        <w:rPr>
          <w:rFonts w:hint="eastAsia" w:ascii="仿宋_GB2312" w:hAnsi="仿宋_GB2312" w:eastAsia="仿宋_GB2312" w:cs="仿宋_GB2312"/>
          <w:b w:val="0"/>
          <w:bCs w:val="0"/>
          <w:sz w:val="32"/>
          <w:lang w:val="en-US" w:eastAsia="zh-CN"/>
        </w:rPr>
        <w:t>目前</w:t>
      </w:r>
      <w:r>
        <w:rPr>
          <w:rFonts w:hint="eastAsia" w:ascii="Calibri" w:hAnsi="Calibri" w:eastAsia="仿宋_GB2312" w:cs="宋体"/>
          <w:b w:val="0"/>
          <w:bCs w:val="0"/>
          <w:sz w:val="32"/>
          <w:lang w:val="en-US" w:eastAsia="zh-CN"/>
        </w:rPr>
        <w:t>康巴什区建成养老机构</w:t>
      </w:r>
      <w:r>
        <w:rPr>
          <w:rFonts w:hint="eastAsia" w:ascii="仿宋_GB2312" w:hAnsi="仿宋_GB2312" w:eastAsia="仿宋_GB2312" w:cs="仿宋_GB2312"/>
          <w:b w:val="0"/>
          <w:bCs w:val="0"/>
          <w:sz w:val="32"/>
          <w:lang w:val="en-US" w:eastAsia="zh-CN"/>
        </w:rPr>
        <w:t>2</w:t>
      </w:r>
      <w:r>
        <w:rPr>
          <w:rFonts w:hint="eastAsia" w:ascii="Calibri" w:hAnsi="Calibri" w:eastAsia="仿宋_GB2312" w:cs="宋体"/>
          <w:b w:val="0"/>
          <w:bCs w:val="0"/>
          <w:sz w:val="32"/>
          <w:lang w:val="en-US" w:eastAsia="zh-CN"/>
        </w:rPr>
        <w:t>家，为康巴什区怡康康养中心和康巴什区宜康尚德园颐养中心，均获评三级养老机构，可使用床位</w:t>
      </w:r>
      <w:r>
        <w:rPr>
          <w:rFonts w:hint="eastAsia" w:ascii="Calibri" w:hAnsi="Calibri" w:eastAsia="仿宋_GB2312" w:cs="宋体"/>
          <w:b w:val="0"/>
          <w:bCs w:val="0"/>
          <w:color w:val="auto"/>
          <w:sz w:val="32"/>
          <w:lang w:val="en-US" w:eastAsia="zh-CN"/>
        </w:rPr>
        <w:t>数达到</w:t>
      </w:r>
      <w:r>
        <w:rPr>
          <w:rFonts w:hint="eastAsia" w:ascii="仿宋_GB2312" w:hAnsi="仿宋_GB2312" w:eastAsia="仿宋_GB2312" w:cs="仿宋_GB2312"/>
          <w:b w:val="0"/>
          <w:bCs w:val="0"/>
          <w:color w:val="auto"/>
          <w:sz w:val="32"/>
          <w:lang w:val="en-US" w:eastAsia="zh-CN"/>
        </w:rPr>
        <w:t>700</w:t>
      </w:r>
      <w:r>
        <w:rPr>
          <w:rFonts w:hint="eastAsia" w:ascii="Calibri" w:hAnsi="Calibri" w:eastAsia="仿宋_GB2312" w:cs="宋体"/>
          <w:b w:val="0"/>
          <w:bCs w:val="0"/>
          <w:color w:val="auto"/>
          <w:sz w:val="32"/>
          <w:lang w:val="en-US" w:eastAsia="zh-CN"/>
        </w:rPr>
        <w:t>张。落实养老机构税费优惠政策，养老机构在水电气暖方面享受居民价，降低养老机构运营成本。为入住养老机构的老年人申请养老</w:t>
      </w:r>
      <w:r>
        <w:rPr>
          <w:rFonts w:hint="eastAsia" w:ascii="Calibri" w:hAnsi="Calibri" w:eastAsia="仿宋_GB2312" w:cs="宋体"/>
          <w:b w:val="0"/>
          <w:bCs w:val="0"/>
          <w:color w:val="0000FF"/>
          <w:sz w:val="32"/>
          <w:lang w:val="en-US" w:eastAsia="zh-CN"/>
        </w:rPr>
        <w:t>服务补贴7.68万元，为养老</w:t>
      </w:r>
      <w:r>
        <w:rPr>
          <w:rFonts w:hint="eastAsia" w:ascii="Calibri" w:hAnsi="Calibri" w:eastAsia="仿宋_GB2312" w:cs="宋体"/>
          <w:b w:val="0"/>
          <w:bCs w:val="0"/>
          <w:color w:val="auto"/>
          <w:sz w:val="32"/>
          <w:lang w:val="en-US" w:eastAsia="zh-CN"/>
        </w:rPr>
        <w:t>机构申请一次性建设补贴200万元。针对养老机构的护理人员开展专业的培训，2025年邀请专业的老师针对20余名护理员开展理论培训和实操培训，切实提升养老护理人员业务能力。联合区消防部门对养老机构工作人员开展消防培训和应急演练，并聘请专家对养老机构的应急预案开展指导编写，切实提升养老机构安全应急能力，</w:t>
      </w:r>
      <w:r>
        <w:rPr>
          <w:rFonts w:hint="eastAsia" w:ascii="Calibri" w:hAnsi="Calibri" w:eastAsia="仿宋_GB2312" w:cs="宋体"/>
          <w:b w:val="0"/>
          <w:bCs w:val="0"/>
          <w:sz w:val="32"/>
          <w:lang w:val="en-US" w:eastAsia="zh-CN"/>
        </w:rPr>
        <w:t>确保入住养老机构老年人的人身和财产安全。</w:t>
      </w:r>
    </w:p>
    <w:p w14:paraId="34BDC6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Calibri" w:hAnsi="Calibri" w:eastAsia="仿宋_GB2312" w:cs="宋体"/>
          <w:b w:val="0"/>
          <w:bCs w:val="0"/>
          <w:sz w:val="32"/>
          <w:lang w:val="en-US" w:eastAsia="zh-CN"/>
        </w:rPr>
      </w:pPr>
      <w:r>
        <w:rPr>
          <w:rFonts w:hint="eastAsia" w:ascii="Calibri" w:hAnsi="Calibri" w:eastAsia="仿宋_GB2312" w:cs="宋体"/>
          <w:b/>
          <w:bCs/>
          <w:sz w:val="32"/>
          <w:lang w:val="en-US" w:eastAsia="zh-CN"/>
        </w:rPr>
        <w:t>三是实施居家养老服务“带动引领”行动。</w:t>
      </w:r>
      <w:r>
        <w:rPr>
          <w:rFonts w:hint="eastAsia" w:ascii="Calibri" w:hAnsi="Calibri" w:eastAsia="仿宋_GB2312" w:cs="宋体"/>
          <w:b w:val="0"/>
          <w:bCs w:val="0"/>
          <w:sz w:val="32"/>
          <w:lang w:val="en-US" w:eastAsia="zh-CN"/>
        </w:rPr>
        <w:t>目前康巴什区有街道级养老服务中心4家，社区级养老服务站5家，建成养老餐厅11个。打造了全市第一家标准化建设的街道级养老服务中心试点项目，现有居住小区的养老服务实现全覆盖，一刻钟养老服务网络设施铺设完成。</w:t>
      </w:r>
      <w:r>
        <w:rPr>
          <w:rFonts w:hint="eastAsia" w:ascii="仿宋_GB2312" w:hAnsi="仿宋_GB2312" w:eastAsia="仿宋_GB2312" w:cs="仿宋_GB2312"/>
          <w:b w:val="0"/>
          <w:bCs w:val="0"/>
          <w:sz w:val="32"/>
          <w:lang w:val="en-US" w:eastAsia="zh-CN"/>
        </w:rPr>
        <w:t>2025</w:t>
      </w:r>
      <w:r>
        <w:rPr>
          <w:rFonts w:hint="eastAsia" w:ascii="Calibri" w:hAnsi="Calibri" w:eastAsia="仿宋_GB2312" w:cs="宋体"/>
          <w:b w:val="0"/>
          <w:bCs w:val="0"/>
          <w:sz w:val="32"/>
          <w:lang w:val="en-US" w:eastAsia="zh-CN"/>
        </w:rPr>
        <w:t>年将再建成居家社区养老服务站点</w:t>
      </w:r>
      <w:r>
        <w:rPr>
          <w:rFonts w:hint="eastAsia" w:ascii="仿宋_GB2312" w:hAnsi="仿宋_GB2312" w:eastAsia="仿宋_GB2312" w:cs="仿宋_GB2312"/>
          <w:b w:val="0"/>
          <w:bCs w:val="0"/>
          <w:sz w:val="32"/>
          <w:lang w:val="en-US" w:eastAsia="zh-CN"/>
        </w:rPr>
        <w:t>3</w:t>
      </w:r>
      <w:r>
        <w:rPr>
          <w:rFonts w:hint="eastAsia" w:ascii="Calibri" w:hAnsi="Calibri" w:eastAsia="仿宋_GB2312" w:cs="宋体"/>
          <w:b w:val="0"/>
          <w:bCs w:val="0"/>
          <w:sz w:val="32"/>
          <w:lang w:val="en-US" w:eastAsia="zh-CN"/>
        </w:rPr>
        <w:t>处。规划编制完成了《康巴什区养老服务设施建设规划（2025-2035）》，</w:t>
      </w:r>
      <w:r>
        <w:rPr>
          <w:rFonts w:hint="eastAsia" w:ascii="仿宋_GB2312" w:hAnsi="仿宋_GB2312" w:eastAsia="仿宋_GB2312" w:cs="仿宋_GB2312"/>
          <w:snapToGrid w:val="0"/>
          <w:kern w:val="21"/>
          <w:sz w:val="32"/>
          <w:szCs w:val="32"/>
          <w:lang w:val="en-US" w:eastAsia="zh-CN"/>
        </w:rPr>
        <w:t>此项规划对我区未来10年的养老设施建设进行整体谋划，为构建兜底有保障、普惠有市场、高端有选择、与经济社会发展水平相适应的高质量养老服务体系奠定了基础。</w:t>
      </w:r>
    </w:p>
    <w:p w14:paraId="32B36D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Calibri" w:hAnsi="Calibri" w:eastAsia="仿宋_GB2312" w:cs="宋体"/>
          <w:b w:val="0"/>
          <w:bCs w:val="0"/>
          <w:sz w:val="32"/>
          <w:lang w:val="en-US" w:eastAsia="zh-CN"/>
        </w:rPr>
      </w:pPr>
      <w:r>
        <w:rPr>
          <w:rFonts w:hint="eastAsia" w:ascii="Calibri" w:hAnsi="Calibri" w:eastAsia="仿宋_GB2312" w:cs="宋体"/>
          <w:b/>
          <w:bCs/>
          <w:sz w:val="32"/>
          <w:lang w:val="en-US" w:eastAsia="zh-CN"/>
        </w:rPr>
        <w:t>四是实施智慧养老服务“多元参与”行动。</w:t>
      </w:r>
      <w:r>
        <w:rPr>
          <w:rFonts w:hint="eastAsia" w:ascii="Calibri" w:hAnsi="Calibri" w:eastAsia="仿宋_GB2312" w:cs="宋体"/>
          <w:b w:val="0"/>
          <w:bCs w:val="0"/>
          <w:sz w:val="32"/>
          <w:lang w:val="en-US" w:eastAsia="zh-CN"/>
        </w:rPr>
        <w:t>打造康巴什区智慧养老指挥调度中心，开通养老服务</w:t>
      </w:r>
      <w:r>
        <w:rPr>
          <w:rFonts w:hint="eastAsia" w:ascii="仿宋_GB2312" w:hAnsi="仿宋_GB2312" w:eastAsia="仿宋_GB2312" w:cs="仿宋_GB2312"/>
          <w:b w:val="0"/>
          <w:bCs w:val="0"/>
          <w:sz w:val="32"/>
          <w:lang w:val="en-US" w:eastAsia="zh-CN"/>
        </w:rPr>
        <w:t>24</w:t>
      </w:r>
      <w:r>
        <w:rPr>
          <w:rFonts w:hint="eastAsia" w:ascii="Calibri" w:hAnsi="Calibri" w:eastAsia="仿宋_GB2312" w:cs="宋体"/>
          <w:b w:val="0"/>
          <w:bCs w:val="0"/>
          <w:sz w:val="32"/>
          <w:lang w:val="en-US" w:eastAsia="zh-CN"/>
        </w:rPr>
        <w:t>小时热线电话，建成全市第一个集指挥调度、适老化产品情景展示、租赁、售卖为一体的智慧养老指挥调度中心。依托调度中心建设家庭养老床位</w:t>
      </w:r>
      <w:r>
        <w:rPr>
          <w:rFonts w:hint="eastAsia" w:ascii="仿宋_GB2312" w:hAnsi="仿宋_GB2312" w:eastAsia="仿宋_GB2312" w:cs="仿宋_GB2312"/>
          <w:b w:val="0"/>
          <w:bCs w:val="0"/>
          <w:sz w:val="32"/>
          <w:lang w:val="en-US" w:eastAsia="zh-CN"/>
        </w:rPr>
        <w:t>20</w:t>
      </w:r>
      <w:r>
        <w:rPr>
          <w:rFonts w:hint="eastAsia" w:ascii="Calibri" w:hAnsi="Calibri" w:eastAsia="仿宋_GB2312" w:cs="宋体"/>
          <w:b w:val="0"/>
          <w:bCs w:val="0"/>
          <w:sz w:val="32"/>
          <w:lang w:val="en-US" w:eastAsia="zh-CN"/>
        </w:rPr>
        <w:t>张，开展特殊困难老年人家庭适老化改造</w:t>
      </w:r>
      <w:r>
        <w:rPr>
          <w:rFonts w:hint="eastAsia" w:ascii="仿宋_GB2312" w:hAnsi="仿宋_GB2312" w:eastAsia="仿宋_GB2312" w:cs="仿宋_GB2312"/>
          <w:b w:val="0"/>
          <w:bCs w:val="0"/>
          <w:sz w:val="32"/>
          <w:lang w:val="en-US" w:eastAsia="zh-CN"/>
        </w:rPr>
        <w:t>143</w:t>
      </w:r>
      <w:r>
        <w:rPr>
          <w:rFonts w:hint="eastAsia" w:ascii="Calibri" w:hAnsi="Calibri" w:eastAsia="仿宋_GB2312" w:cs="宋体"/>
          <w:b w:val="0"/>
          <w:bCs w:val="0"/>
          <w:sz w:val="32"/>
          <w:lang w:val="en-US" w:eastAsia="zh-CN"/>
        </w:rPr>
        <w:t>户。持续优化“银发积分”，</w:t>
      </w:r>
      <w:r>
        <w:rPr>
          <w:rFonts w:hint="eastAsia" w:ascii="Calibri" w:hAnsi="Calibri" w:eastAsia="仿宋_GB2312" w:cs="宋体"/>
          <w:b w:val="0"/>
          <w:bCs w:val="0"/>
          <w:color w:val="0000FF"/>
          <w:sz w:val="32"/>
          <w:lang w:val="en-US" w:eastAsia="zh-CN"/>
        </w:rPr>
        <w:t>为</w:t>
      </w:r>
      <w:r>
        <w:rPr>
          <w:rFonts w:hint="eastAsia" w:ascii="仿宋_GB2312" w:hAnsi="仿宋_GB2312" w:eastAsia="仿宋_GB2312" w:cs="仿宋_GB2312"/>
          <w:b w:val="0"/>
          <w:bCs w:val="0"/>
          <w:color w:val="0000FF"/>
          <w:sz w:val="32"/>
          <w:highlight w:val="none"/>
          <w:lang w:val="en-US" w:eastAsia="zh-CN"/>
        </w:rPr>
        <w:t>2000余</w:t>
      </w:r>
      <w:r>
        <w:rPr>
          <w:rFonts w:hint="eastAsia" w:ascii="Calibri" w:hAnsi="Calibri" w:eastAsia="仿宋_GB2312" w:cs="宋体"/>
          <w:b w:val="0"/>
          <w:bCs w:val="0"/>
          <w:color w:val="0000FF"/>
          <w:sz w:val="32"/>
          <w:lang w:val="en-US" w:eastAsia="zh-CN"/>
        </w:rPr>
        <w:t>名老年人发放智能手环，2025年共发放积分</w:t>
      </w:r>
      <w:r>
        <w:rPr>
          <w:rFonts w:hint="eastAsia" w:ascii="仿宋_GB2312" w:hAnsi="仿宋_GB2312" w:eastAsia="仿宋_GB2312" w:cs="仿宋_GB2312"/>
          <w:b w:val="0"/>
          <w:bCs w:val="0"/>
          <w:color w:val="0000FF"/>
          <w:sz w:val="32"/>
          <w:highlight w:val="none"/>
          <w:lang w:val="en-US" w:eastAsia="zh-CN"/>
        </w:rPr>
        <w:t>211</w:t>
      </w:r>
      <w:bookmarkStart w:id="0" w:name="_GoBack"/>
      <w:bookmarkEnd w:id="0"/>
      <w:r>
        <w:rPr>
          <w:rFonts w:hint="eastAsia" w:ascii="Calibri" w:hAnsi="Calibri" w:eastAsia="仿宋_GB2312" w:cs="宋体"/>
          <w:b w:val="0"/>
          <w:bCs w:val="0"/>
          <w:color w:val="0000FF"/>
          <w:sz w:val="32"/>
          <w:lang w:val="en-US" w:eastAsia="zh-CN"/>
        </w:rPr>
        <w:t>万元，累计筛选银发积分商户80家</w:t>
      </w:r>
      <w:r>
        <w:rPr>
          <w:rFonts w:hint="eastAsia" w:ascii="Calibri" w:hAnsi="Calibri" w:eastAsia="仿宋_GB2312" w:cs="宋体"/>
          <w:b w:val="0"/>
          <w:bCs w:val="0"/>
          <w:sz w:val="32"/>
          <w:lang w:val="en-US" w:eastAsia="zh-CN"/>
        </w:rPr>
        <w:t>，可提供助餐、理发、医疗保健、康复按摩、家政等服务，引进更多的市场主体参与到养老服务中来，有效补充了十五分钟养老服务圈的建设。</w:t>
      </w:r>
    </w:p>
    <w:p w14:paraId="262FF4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五是实施养老服务机构“夯基固本”行动。</w:t>
      </w:r>
      <w:r>
        <w:rPr>
          <w:rFonts w:hint="eastAsia" w:ascii="仿宋_GB2312" w:hAnsi="仿宋_GB2312" w:eastAsia="仿宋_GB2312" w:cs="仿宋_GB2312"/>
          <w:b w:val="0"/>
          <w:bCs w:val="0"/>
          <w:i w:val="0"/>
          <w:caps w:val="0"/>
          <w:color w:val="auto"/>
          <w:spacing w:val="0"/>
          <w:kern w:val="2"/>
          <w:sz w:val="32"/>
          <w:szCs w:val="32"/>
          <w:shd w:val="clear" w:color="080000" w:fill="FFFFFF"/>
          <w:lang w:val="en-US" w:eastAsia="zh-CN" w:bidi="ar-SA"/>
        </w:rPr>
        <w:t>紧盯春节、五一和国庆等重大节日，联合相关部门对各养老机构和居家社区养老服务站点开展安全生产检查，</w:t>
      </w:r>
      <w:r>
        <w:rPr>
          <w:rFonts w:hint="eastAsia" w:ascii="仿宋_GB2312" w:hAnsi="仿宋_GB2312" w:eastAsia="仿宋_GB2312" w:cs="仿宋_GB2312"/>
          <w:color w:val="auto"/>
          <w:spacing w:val="0"/>
          <w:sz w:val="32"/>
          <w:szCs w:val="32"/>
          <w:lang w:val="en-US" w:eastAsia="zh-CN"/>
        </w:rPr>
        <w:t>对督查中发现的隐患，能现场整改的，现场整改到位；无法立即整改的，由督查组下达整改通知书，责令限期整改到位。</w:t>
      </w:r>
      <w:r>
        <w:rPr>
          <w:rFonts w:hint="eastAsia" w:ascii="仿宋_GB2312" w:hAnsi="仿宋_GB2312" w:eastAsia="仿宋_GB2312" w:cs="仿宋_GB2312"/>
          <w:b w:val="0"/>
          <w:bCs w:val="0"/>
          <w:i w:val="0"/>
          <w:caps w:val="0"/>
          <w:color w:val="auto"/>
          <w:spacing w:val="0"/>
          <w:kern w:val="2"/>
          <w:sz w:val="32"/>
          <w:szCs w:val="32"/>
          <w:shd w:val="clear" w:color="080000" w:fill="FFFFFF"/>
          <w:lang w:val="en-US" w:eastAsia="zh-CN" w:bidi="ar-SA"/>
        </w:rPr>
        <w:t>确保养老服务机构安全、平稳运行。2025年以来共开展各项安全检查10余次。</w:t>
      </w:r>
    </w:p>
    <w:p w14:paraId="428E1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i w:val="0"/>
          <w:caps w:val="0"/>
          <w:color w:val="222222"/>
          <w:spacing w:val="0"/>
          <w:sz w:val="32"/>
          <w:szCs w:val="32"/>
          <w:highlight w:val="none"/>
          <w:shd w:val="clear" w:color="auto" w:fill="FFFFFF"/>
          <w:lang w:val="en-US" w:eastAsia="zh-CN"/>
        </w:rPr>
      </w:pPr>
      <w:r>
        <w:rPr>
          <w:rFonts w:hint="eastAsia" w:ascii="楷体_GB2312" w:hAnsi="楷体_GB2312" w:eastAsia="楷体_GB2312" w:cs="楷体_GB2312"/>
          <w:b w:val="0"/>
          <w:bCs w:val="0"/>
          <w:color w:val="auto"/>
          <w:spacing w:val="0"/>
          <w:sz w:val="32"/>
          <w:szCs w:val="32"/>
          <w:highlight w:val="none"/>
          <w:lang w:val="en-US" w:eastAsia="zh-CN"/>
        </w:rPr>
        <w:t>下一步，康巴什区将开展“老有康养”提升工程，聚焦“六个强化”扩大养老服务供给。</w:t>
      </w:r>
      <w:r>
        <w:rPr>
          <w:rFonts w:hint="eastAsia" w:ascii="仿宋_GB2312" w:hAnsi="仿宋_GB2312" w:eastAsia="仿宋_GB2312" w:cs="仿宋_GB2312"/>
          <w:b/>
          <w:bCs/>
          <w:i w:val="0"/>
          <w:caps w:val="0"/>
          <w:color w:val="222222"/>
          <w:spacing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222222"/>
          <w:spacing w:val="0"/>
          <w:sz w:val="32"/>
          <w:szCs w:val="32"/>
          <w:highlight w:val="none"/>
          <w:shd w:val="clear" w:color="auto" w:fill="FFFFFF"/>
          <w:lang w:val="en-US" w:eastAsia="zh-CN"/>
        </w:rPr>
        <w:t>强化养老政策保障，不断完善养老服务制度体系建设。</w:t>
      </w:r>
      <w:r>
        <w:rPr>
          <w:rFonts w:hint="eastAsia" w:ascii="仿宋_GB2312" w:hAnsi="仿宋_GB2312" w:eastAsia="仿宋_GB2312" w:cs="仿宋_GB2312"/>
          <w:b/>
          <w:bCs/>
          <w:i w:val="0"/>
          <w:caps w:val="0"/>
          <w:color w:val="222222"/>
          <w:spacing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222222"/>
          <w:spacing w:val="0"/>
          <w:sz w:val="32"/>
          <w:szCs w:val="32"/>
          <w:highlight w:val="none"/>
          <w:shd w:val="clear" w:color="auto" w:fill="FFFFFF"/>
          <w:lang w:val="en-US" w:eastAsia="zh-CN"/>
        </w:rPr>
        <w:t>强化养老机构培育，继续提升养老机构的服务品质。</w:t>
      </w:r>
      <w:r>
        <w:rPr>
          <w:rFonts w:hint="eastAsia" w:ascii="仿宋_GB2312" w:hAnsi="仿宋_GB2312" w:eastAsia="仿宋_GB2312" w:cs="仿宋_GB2312"/>
          <w:b/>
          <w:bCs/>
          <w:i w:val="0"/>
          <w:caps w:val="0"/>
          <w:color w:val="222222"/>
          <w:spacing w:val="0"/>
          <w:sz w:val="32"/>
          <w:szCs w:val="32"/>
          <w:highlight w:val="none"/>
          <w:shd w:val="clear" w:color="auto" w:fill="FFFFFF"/>
          <w:lang w:val="en-US" w:eastAsia="zh-CN"/>
        </w:rPr>
        <w:t>三是</w:t>
      </w:r>
      <w:r>
        <w:rPr>
          <w:rFonts w:hint="eastAsia" w:ascii="仿宋_GB2312" w:hAnsi="仿宋_GB2312" w:eastAsia="仿宋_GB2312" w:cs="仿宋_GB2312"/>
          <w:b w:val="0"/>
          <w:bCs w:val="0"/>
          <w:i w:val="0"/>
          <w:caps w:val="0"/>
          <w:color w:val="222222"/>
          <w:spacing w:val="0"/>
          <w:sz w:val="32"/>
          <w:szCs w:val="32"/>
          <w:highlight w:val="none"/>
          <w:shd w:val="clear" w:color="auto" w:fill="FFFFFF"/>
          <w:lang w:val="en-US" w:eastAsia="zh-CN"/>
        </w:rPr>
        <w:t>强化养老站点建设，进一步织密养老服务网络体系。</w:t>
      </w:r>
      <w:r>
        <w:rPr>
          <w:rFonts w:hint="eastAsia" w:ascii="仿宋_GB2312" w:hAnsi="仿宋_GB2312" w:eastAsia="仿宋_GB2312" w:cs="仿宋_GB2312"/>
          <w:b/>
          <w:bCs/>
          <w:i w:val="0"/>
          <w:caps w:val="0"/>
          <w:color w:val="222222"/>
          <w:spacing w:val="0"/>
          <w:sz w:val="32"/>
          <w:szCs w:val="32"/>
          <w:highlight w:val="none"/>
          <w:shd w:val="clear" w:color="auto" w:fill="FFFFFF"/>
          <w:lang w:val="en-US" w:eastAsia="zh-CN"/>
        </w:rPr>
        <w:t>四是</w:t>
      </w:r>
      <w:r>
        <w:rPr>
          <w:rFonts w:hint="eastAsia" w:ascii="仿宋_GB2312" w:hAnsi="仿宋_GB2312" w:eastAsia="仿宋_GB2312" w:cs="仿宋_GB2312"/>
          <w:b w:val="0"/>
          <w:bCs w:val="0"/>
          <w:i w:val="0"/>
          <w:caps w:val="0"/>
          <w:color w:val="222222"/>
          <w:spacing w:val="0"/>
          <w:sz w:val="32"/>
          <w:szCs w:val="32"/>
          <w:highlight w:val="none"/>
          <w:shd w:val="clear" w:color="auto" w:fill="FFFFFF"/>
          <w:lang w:val="en-US" w:eastAsia="zh-CN"/>
        </w:rPr>
        <w:t>强化老年助餐点服务，优化助餐补贴政策，让老年人乐享更多实惠。</w:t>
      </w:r>
      <w:r>
        <w:rPr>
          <w:rFonts w:hint="eastAsia" w:ascii="仿宋_GB2312" w:hAnsi="仿宋_GB2312" w:eastAsia="仿宋_GB2312" w:cs="仿宋_GB2312"/>
          <w:b/>
          <w:bCs/>
          <w:i w:val="0"/>
          <w:caps w:val="0"/>
          <w:color w:val="222222"/>
          <w:spacing w:val="0"/>
          <w:sz w:val="32"/>
          <w:szCs w:val="32"/>
          <w:highlight w:val="none"/>
          <w:shd w:val="clear" w:color="auto" w:fill="FFFFFF"/>
          <w:lang w:val="en-US" w:eastAsia="zh-CN"/>
        </w:rPr>
        <w:t>五是</w:t>
      </w:r>
      <w:r>
        <w:rPr>
          <w:rFonts w:hint="eastAsia" w:ascii="仿宋_GB2312" w:hAnsi="仿宋_GB2312" w:eastAsia="仿宋_GB2312" w:cs="仿宋_GB2312"/>
          <w:b w:val="0"/>
          <w:bCs w:val="0"/>
          <w:i w:val="0"/>
          <w:caps w:val="0"/>
          <w:color w:val="222222"/>
          <w:spacing w:val="0"/>
          <w:sz w:val="32"/>
          <w:szCs w:val="32"/>
          <w:highlight w:val="none"/>
          <w:shd w:val="clear" w:color="auto" w:fill="FFFFFF"/>
          <w:lang w:val="en-US" w:eastAsia="zh-CN"/>
        </w:rPr>
        <w:t>强化智慧养老水平，继续实施智慧养老指挥调度平台运营项目，优化发挥指挥调度系统功能</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bCs/>
          <w:i w:val="0"/>
          <w:caps w:val="0"/>
          <w:color w:val="222222"/>
          <w:spacing w:val="0"/>
          <w:sz w:val="32"/>
          <w:szCs w:val="32"/>
          <w:highlight w:val="none"/>
          <w:shd w:val="clear" w:color="auto" w:fill="FFFFFF"/>
          <w:lang w:val="en-US" w:eastAsia="zh-CN"/>
        </w:rPr>
        <w:t>六是</w:t>
      </w:r>
      <w:r>
        <w:rPr>
          <w:rFonts w:hint="eastAsia" w:ascii="仿宋_GB2312" w:hAnsi="仿宋_GB2312" w:eastAsia="仿宋_GB2312" w:cs="仿宋_GB2312"/>
          <w:b w:val="0"/>
          <w:bCs w:val="0"/>
          <w:i w:val="0"/>
          <w:caps w:val="0"/>
          <w:color w:val="222222"/>
          <w:spacing w:val="0"/>
          <w:sz w:val="32"/>
          <w:szCs w:val="32"/>
          <w:highlight w:val="none"/>
          <w:shd w:val="clear" w:color="auto" w:fill="FFFFFF"/>
          <w:lang w:val="en-US" w:eastAsia="zh-CN"/>
        </w:rPr>
        <w:t>强化老年人探访关爱，营造全社会敬老孝老氛围，让康巴什区的老年人安享幸福晚年生活，促进老年人友好型城市的建设。</w:t>
      </w:r>
    </w:p>
    <w:p w14:paraId="63614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897888A-3752-4725-9C97-101CD2137C9C}"/>
  </w:font>
  <w:font w:name="仿宋_GB2312">
    <w:panose1 w:val="02010609030101010101"/>
    <w:charset w:val="86"/>
    <w:family w:val="auto"/>
    <w:pitch w:val="default"/>
    <w:sig w:usb0="00000001" w:usb1="080E0000" w:usb2="00000000" w:usb3="00000000" w:csb0="00040000" w:csb1="00000000"/>
    <w:embedRegular r:id="rId2" w:fontKey="{CA0C0076-8079-4D65-9FA9-813A8CC39471}"/>
  </w:font>
  <w:font w:name="方正小标宋简体">
    <w:panose1 w:val="03000509000000000000"/>
    <w:charset w:val="86"/>
    <w:family w:val="auto"/>
    <w:pitch w:val="default"/>
    <w:sig w:usb0="00000001" w:usb1="080E0000" w:usb2="00000000" w:usb3="00000000" w:csb0="00040000" w:csb1="00000000"/>
    <w:embedRegular r:id="rId3" w:fontKey="{2F948414-A3FB-4A4E-938F-C55DF541238A}"/>
  </w:font>
  <w:font w:name="楷体_GB2312">
    <w:panose1 w:val="02010609030101010101"/>
    <w:charset w:val="86"/>
    <w:family w:val="auto"/>
    <w:pitch w:val="default"/>
    <w:sig w:usb0="00000001" w:usb1="080E0000" w:usb2="00000000" w:usb3="00000000" w:csb0="00040000" w:csb1="00000000"/>
    <w:embedRegular r:id="rId4" w:fontKey="{5575AFF9-B7EF-414E-9045-A894CB531D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84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7E69C">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17E69C">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NWMyOGFlY2YxZWZjM2NmNDViMzkzYjMzMjE4YzEifQ=="/>
  </w:docVars>
  <w:rsids>
    <w:rsidRoot w:val="1C761595"/>
    <w:rsid w:val="05076BB4"/>
    <w:rsid w:val="06A33686"/>
    <w:rsid w:val="09827398"/>
    <w:rsid w:val="0A7669ED"/>
    <w:rsid w:val="0AD17B3C"/>
    <w:rsid w:val="0C61547A"/>
    <w:rsid w:val="1111746F"/>
    <w:rsid w:val="11AE2F10"/>
    <w:rsid w:val="12C80001"/>
    <w:rsid w:val="134358DA"/>
    <w:rsid w:val="142851FC"/>
    <w:rsid w:val="191F1BDA"/>
    <w:rsid w:val="1C3D55BC"/>
    <w:rsid w:val="1C761595"/>
    <w:rsid w:val="21555156"/>
    <w:rsid w:val="22467857"/>
    <w:rsid w:val="22FC728F"/>
    <w:rsid w:val="24AF2020"/>
    <w:rsid w:val="320A7897"/>
    <w:rsid w:val="322D5E7C"/>
    <w:rsid w:val="33794225"/>
    <w:rsid w:val="345179FF"/>
    <w:rsid w:val="349D49F2"/>
    <w:rsid w:val="349E6616"/>
    <w:rsid w:val="3AE8273F"/>
    <w:rsid w:val="3CB90837"/>
    <w:rsid w:val="3DD62C23"/>
    <w:rsid w:val="3EC356B6"/>
    <w:rsid w:val="3ECD2378"/>
    <w:rsid w:val="41EA3241"/>
    <w:rsid w:val="42D261AF"/>
    <w:rsid w:val="42D27F5D"/>
    <w:rsid w:val="461D5993"/>
    <w:rsid w:val="47BA5463"/>
    <w:rsid w:val="47EA6DF6"/>
    <w:rsid w:val="48CC36A0"/>
    <w:rsid w:val="49D4280C"/>
    <w:rsid w:val="4A5120AF"/>
    <w:rsid w:val="4A6F2337"/>
    <w:rsid w:val="4D21702C"/>
    <w:rsid w:val="4E437F61"/>
    <w:rsid w:val="4EE80539"/>
    <w:rsid w:val="4EF57CF1"/>
    <w:rsid w:val="4F894099"/>
    <w:rsid w:val="59D54D42"/>
    <w:rsid w:val="5A477008"/>
    <w:rsid w:val="5BC85F49"/>
    <w:rsid w:val="5E5B30A5"/>
    <w:rsid w:val="5E875C48"/>
    <w:rsid w:val="5F622211"/>
    <w:rsid w:val="633B34A5"/>
    <w:rsid w:val="65046BCA"/>
    <w:rsid w:val="679772E6"/>
    <w:rsid w:val="6BDD2F64"/>
    <w:rsid w:val="723F6274"/>
    <w:rsid w:val="734D7008"/>
    <w:rsid w:val="74AE4E70"/>
    <w:rsid w:val="75DF4163"/>
    <w:rsid w:val="76875CBA"/>
    <w:rsid w:val="76D77202"/>
    <w:rsid w:val="77071B8C"/>
    <w:rsid w:val="7B837625"/>
    <w:rsid w:val="7EFD7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3"/>
    <w:qFormat/>
    <w:uiPriority w:val="10"/>
    <w:pPr>
      <w:spacing w:before="240" w:after="60"/>
      <w:ind w:left="640" w:leftChars="200"/>
      <w:outlineLvl w:val="0"/>
    </w:pPr>
    <w:rPr>
      <w:rFonts w:ascii="Arial" w:hAnsi="Arial" w:eastAsia="仿宋_GB2312"/>
      <w:b/>
      <w:sz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1595</Words>
  <Characters>1632</Characters>
  <Lines>0</Lines>
  <Paragraphs>0</Paragraphs>
  <TotalTime>21</TotalTime>
  <ScaleCrop>false</ScaleCrop>
  <LinksUpToDate>false</LinksUpToDate>
  <CharactersWithSpaces>1646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2024-11-08T01:15:00Z</dcterms:created>
  <dc:creator>warrior.</dc:creator>
  <cp:lastModifiedBy>✨Yan er✨</cp:lastModifiedBy>
  <cp:lastPrinted>2024-11-08T06:42:00Z</cp:lastPrinted>
  <dcterms:modified xsi:type="dcterms:W3CDTF">2025-08-05T03:34:08Z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4918BD55AACE420AB2F2C8462F32A8E9_13</vt:lpwstr>
  </property>
  <property fmtid="{D5CDD505-2E9C-101B-9397-08002B2CF9AE}" pid="4" name="KSOTemplateDocerSaveRecord">
    <vt:lpwstr>eyJoZGlkIjoiZTI2ZmEzZDQ3OTEzYmIwMGE2MmEwMGI1YjNiZDE0YjciLCJ1c2VySWQiOiI0MjI5NzA0MDcifQ==</vt:lpwstr>
  </property>
</Properties>
</file>